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
        <w:jc w:val="center"/>
      </w:pPr>
      <w:r>
        <w:rPr>
          <w:rFonts w:ascii="Cambria" w:hAnsi="Cambria"/>
          <w:b/>
          <w:color w:val="1F4E79"/>
          <w:sz w:val="44"/>
        </w:rPr>
        <w:t>QMS OVERVIEW</w:t>
      </w:r>
    </w:p>
    <w:p>
      <w:pPr>
        <w:spacing w:before="0" w:after="160"/>
        <w:jc w:val="center"/>
      </w:pPr>
      <w:r>
        <w:rPr>
          <w:rFonts w:ascii="Cambria" w:hAnsi="Cambria"/>
          <w:b/>
          <w:color w:val="666666"/>
          <w:sz w:val="20"/>
        </w:rPr>
        <w:t>Enterprise Quality Management System Governance and Performance Dashboard</w:t>
      </w:r>
    </w:p>
    <w:p>
      <w:pPr>
        <w:spacing w:before="80" w:after="80"/>
      </w:pPr>
      <w:r>
        <w:rPr>
          <w:rFonts w:ascii="Cambria" w:hAnsi="Cambria"/>
          <w:b/>
          <w:color w:val="2F75B5"/>
          <w:sz w:val="24"/>
        </w:rPr>
        <w:t>1. PURPOSE OF USE</w:t>
      </w:r>
    </w:p>
    <w:p>
      <w:pPr>
        <w:spacing w:before="0" w:after="100"/>
      </w:pPr>
      <w:r>
        <w:rPr>
          <w:rFonts w:ascii="Cambria" w:hAnsi="Cambria"/>
          <w:b w:val="0"/>
          <w:color w:val="222222"/>
          <w:sz w:val="18"/>
        </w:rPr>
        <w:t>This document provides an executive overview of the enterprise Quality Management System (QMS). It consolidates governance, process performance, customer and supplier quality, audits, nonconformities, CAPA, document control, competence, risk, change management and management-review actions. The template is intended for the Quality Director, process owners, functional leaders, auditors and executive management.</w:t>
      </w:r>
    </w:p>
    <w:p>
      <w:pPr>
        <w:spacing w:before="80" w:after="80"/>
      </w:pPr>
      <w:r>
        <w:rPr>
          <w:rFonts w:ascii="Cambria" w:hAnsi="Cambria"/>
          <w:b/>
          <w:color w:val="008C95"/>
          <w:sz w:val="24"/>
        </w:rPr>
        <w:t>Executive Management Objectives</w:t>
      </w:r>
    </w:p>
    <w:tbl>
      <w:tblPr>
        <w:tblStyle w:val="MediumGrid1-Accent1"/>
        <w:tblW w:type="auto" w:w="0"/>
        <w:jc w:val="center"/>
        <w:tblLayout w:type="autofit"/>
        <w:tblLook w:firstColumn="1" w:firstRow="1" w:lastColumn="0" w:lastRow="0" w:noHBand="0" w:noVBand="1" w:val="04A0"/>
      </w:tblPr>
      <w:tblGrid>
        <w:gridCol w:w="4752"/>
        <w:gridCol w:w="4752"/>
        <w:gridCol w:w="4752"/>
      </w:tblGrid>
      <w:tr>
        <w:tc>
          <w:tcPr>
            <w:tcW w:type="dxa" w:w="2304"/>
            <w:vAlign w:val="center"/>
          </w:tcPr>
          <w:p>
            <w:pPr>
              <w:spacing w:before="0" w:after="0"/>
              <w:jc w:val="center"/>
            </w:pPr>
            <w:r>
              <w:rPr>
                <w:rFonts w:ascii="Cambria" w:hAnsi="Cambria"/>
                <w:b/>
                <w:color w:val="222222"/>
                <w:sz w:val="15"/>
              </w:rPr>
              <w:t>Objective</w:t>
            </w:r>
          </w:p>
        </w:tc>
        <w:tc>
          <w:tcPr>
            <w:tcW w:type="dxa" w:w="6048"/>
            <w:vAlign w:val="center"/>
          </w:tcPr>
          <w:p>
            <w:pPr>
              <w:spacing w:before="0" w:after="0"/>
              <w:jc w:val="center"/>
            </w:pPr>
            <w:r>
              <w:rPr>
                <w:rFonts w:ascii="Cambria" w:hAnsi="Cambria"/>
                <w:b/>
                <w:color w:val="222222"/>
                <w:sz w:val="15"/>
              </w:rPr>
              <w:t>Management Question</w:t>
            </w:r>
          </w:p>
        </w:tc>
        <w:tc>
          <w:tcPr>
            <w:tcW w:type="dxa" w:w="6336"/>
            <w:vAlign w:val="center"/>
          </w:tcPr>
          <w:p>
            <w:pPr>
              <w:spacing w:before="0" w:after="0"/>
              <w:jc w:val="center"/>
            </w:pPr>
            <w:r>
              <w:rPr>
                <w:rFonts w:ascii="Cambria" w:hAnsi="Cambria"/>
                <w:b/>
                <w:color w:val="222222"/>
                <w:sz w:val="15"/>
              </w:rPr>
              <w:t>Primary Evidence</w:t>
            </w:r>
          </w:p>
        </w:tc>
      </w:tr>
      <w:tr>
        <w:tc>
          <w:tcPr>
            <w:tcW w:type="dxa" w:w="2304"/>
            <w:vAlign w:val="center"/>
          </w:tcPr>
          <w:p>
            <w:pPr>
              <w:spacing w:before="0" w:after="0"/>
              <w:jc w:val="left"/>
            </w:pPr>
            <w:r>
              <w:rPr>
                <w:rFonts w:ascii="Cambria" w:hAnsi="Cambria"/>
                <w:b w:val="0"/>
                <w:color w:val="222222"/>
                <w:sz w:val="15"/>
              </w:rPr>
              <w:t>System Effectiveness</w:t>
            </w:r>
          </w:p>
        </w:tc>
        <w:tc>
          <w:tcPr>
            <w:tcW w:type="dxa" w:w="6048"/>
            <w:vAlign w:val="center"/>
          </w:tcPr>
          <w:p>
            <w:pPr>
              <w:spacing w:before="0" w:after="0"/>
              <w:jc w:val="left"/>
            </w:pPr>
            <w:r>
              <w:rPr>
                <w:rFonts w:ascii="Cambria" w:hAnsi="Cambria"/>
                <w:b w:val="0"/>
                <w:color w:val="222222"/>
                <w:sz w:val="15"/>
              </w:rPr>
              <w:t>Is the QMS achieving intended results and supporting business objectives?</w:t>
            </w:r>
          </w:p>
        </w:tc>
        <w:tc>
          <w:tcPr>
            <w:tcW w:type="dxa" w:w="6336"/>
            <w:vAlign w:val="center"/>
          </w:tcPr>
          <w:p>
            <w:pPr>
              <w:spacing w:before="0" w:after="0"/>
              <w:jc w:val="left"/>
            </w:pPr>
            <w:r>
              <w:rPr>
                <w:rFonts w:ascii="Cambria" w:hAnsi="Cambria"/>
                <w:b w:val="0"/>
                <w:color w:val="222222"/>
                <w:sz w:val="15"/>
              </w:rPr>
              <w:t>KPI trends, audit results, customer feedback and process outcomes</w:t>
            </w:r>
          </w:p>
        </w:tc>
      </w:tr>
      <w:tr>
        <w:tc>
          <w:tcPr>
            <w:tcW w:type="dxa" w:w="2304"/>
            <w:vAlign w:val="center"/>
          </w:tcPr>
          <w:p>
            <w:pPr>
              <w:spacing w:before="0" w:after="0"/>
              <w:jc w:val="left"/>
            </w:pPr>
            <w:r>
              <w:rPr>
                <w:rFonts w:ascii="Cambria" w:hAnsi="Cambria"/>
                <w:b w:val="0"/>
                <w:color w:val="222222"/>
                <w:sz w:val="15"/>
              </w:rPr>
              <w:t>Risk and Compliance</w:t>
            </w:r>
          </w:p>
        </w:tc>
        <w:tc>
          <w:tcPr>
            <w:tcW w:type="dxa" w:w="6048"/>
            <w:vAlign w:val="center"/>
          </w:tcPr>
          <w:p>
            <w:pPr>
              <w:spacing w:before="0" w:after="0"/>
              <w:jc w:val="left"/>
            </w:pPr>
            <w:r>
              <w:rPr>
                <w:rFonts w:ascii="Cambria" w:hAnsi="Cambria"/>
                <w:b w:val="0"/>
                <w:color w:val="222222"/>
                <w:sz w:val="15"/>
              </w:rPr>
              <w:t>Are significant quality, regulatory and operational risks controlled?</w:t>
            </w:r>
          </w:p>
        </w:tc>
        <w:tc>
          <w:tcPr>
            <w:tcW w:type="dxa" w:w="6336"/>
            <w:vAlign w:val="center"/>
          </w:tcPr>
          <w:p>
            <w:pPr>
              <w:spacing w:before="0" w:after="0"/>
              <w:jc w:val="left"/>
            </w:pPr>
            <w:r>
              <w:rPr>
                <w:rFonts w:ascii="Cambria" w:hAnsi="Cambria"/>
                <w:b w:val="0"/>
                <w:color w:val="222222"/>
                <w:sz w:val="15"/>
              </w:rPr>
              <w:t>Risk register, compliance review and escalation records</w:t>
            </w:r>
          </w:p>
        </w:tc>
      </w:tr>
      <w:tr>
        <w:tc>
          <w:tcPr>
            <w:tcW w:type="dxa" w:w="2304"/>
            <w:vAlign w:val="center"/>
          </w:tcPr>
          <w:p>
            <w:pPr>
              <w:spacing w:before="0" w:after="0"/>
              <w:jc w:val="left"/>
            </w:pPr>
            <w:r>
              <w:rPr>
                <w:rFonts w:ascii="Cambria" w:hAnsi="Cambria"/>
                <w:b w:val="0"/>
                <w:color w:val="222222"/>
                <w:sz w:val="15"/>
              </w:rPr>
              <w:t>Accountability</w:t>
            </w:r>
          </w:p>
        </w:tc>
        <w:tc>
          <w:tcPr>
            <w:tcW w:type="dxa" w:w="6048"/>
            <w:vAlign w:val="center"/>
          </w:tcPr>
          <w:p>
            <w:pPr>
              <w:spacing w:before="0" w:after="0"/>
              <w:jc w:val="left"/>
            </w:pPr>
            <w:r>
              <w:rPr>
                <w:rFonts w:ascii="Cambria" w:hAnsi="Cambria"/>
                <w:b w:val="0"/>
                <w:color w:val="222222"/>
                <w:sz w:val="15"/>
              </w:rPr>
              <w:t>Are process owners closing gaps, CAPA and management actions on time?</w:t>
            </w:r>
          </w:p>
        </w:tc>
        <w:tc>
          <w:tcPr>
            <w:tcW w:type="dxa" w:w="6336"/>
            <w:vAlign w:val="center"/>
          </w:tcPr>
          <w:p>
            <w:pPr>
              <w:spacing w:before="0" w:after="0"/>
              <w:jc w:val="left"/>
            </w:pPr>
            <w:r>
              <w:rPr>
                <w:rFonts w:ascii="Cambria" w:hAnsi="Cambria"/>
                <w:b w:val="0"/>
                <w:color w:val="222222"/>
                <w:sz w:val="15"/>
              </w:rPr>
              <w:t>Action register, ownership and effectiveness verification</w:t>
            </w:r>
          </w:p>
        </w:tc>
      </w:tr>
      <w:tr>
        <w:tc>
          <w:tcPr>
            <w:tcW w:type="dxa" w:w="2304"/>
            <w:vAlign w:val="center"/>
          </w:tcPr>
          <w:p>
            <w:pPr>
              <w:spacing w:before="0" w:after="0"/>
              <w:jc w:val="left"/>
            </w:pPr>
            <w:r>
              <w:rPr>
                <w:rFonts w:ascii="Cambria" w:hAnsi="Cambria"/>
                <w:b w:val="0"/>
                <w:color w:val="222222"/>
                <w:sz w:val="15"/>
              </w:rPr>
              <w:t>Resource Adequacy</w:t>
            </w:r>
          </w:p>
        </w:tc>
        <w:tc>
          <w:tcPr>
            <w:tcW w:type="dxa" w:w="6048"/>
            <w:vAlign w:val="center"/>
          </w:tcPr>
          <w:p>
            <w:pPr>
              <w:spacing w:before="0" w:after="0"/>
              <w:jc w:val="left"/>
            </w:pPr>
            <w:r>
              <w:rPr>
                <w:rFonts w:ascii="Cambria" w:hAnsi="Cambria"/>
                <w:b w:val="0"/>
                <w:color w:val="222222"/>
                <w:sz w:val="15"/>
              </w:rPr>
              <w:t>Are competence, technology, infrastructure and supplier resources sufficient?</w:t>
            </w:r>
          </w:p>
        </w:tc>
        <w:tc>
          <w:tcPr>
            <w:tcW w:type="dxa" w:w="6336"/>
            <w:vAlign w:val="center"/>
          </w:tcPr>
          <w:p>
            <w:pPr>
              <w:spacing w:before="0" w:after="0"/>
              <w:jc w:val="left"/>
            </w:pPr>
            <w:r>
              <w:rPr>
                <w:rFonts w:ascii="Cambria" w:hAnsi="Cambria"/>
                <w:b w:val="0"/>
                <w:color w:val="222222"/>
                <w:sz w:val="15"/>
              </w:rPr>
              <w:t>Training, capacity, investment and supplier plans</w:t>
            </w:r>
          </w:p>
        </w:tc>
      </w:tr>
      <w:tr>
        <w:tc>
          <w:tcPr>
            <w:tcW w:type="dxa" w:w="2304"/>
            <w:vAlign w:val="center"/>
          </w:tcPr>
          <w:p>
            <w:pPr>
              <w:spacing w:before="0" w:after="0"/>
              <w:jc w:val="left"/>
            </w:pPr>
            <w:r>
              <w:rPr>
                <w:rFonts w:ascii="Cambria" w:hAnsi="Cambria"/>
                <w:b w:val="0"/>
                <w:color w:val="222222"/>
                <w:sz w:val="15"/>
              </w:rPr>
              <w:t>Continual Improvement</w:t>
            </w:r>
          </w:p>
        </w:tc>
        <w:tc>
          <w:tcPr>
            <w:tcW w:type="dxa" w:w="6048"/>
            <w:vAlign w:val="center"/>
          </w:tcPr>
          <w:p>
            <w:pPr>
              <w:spacing w:before="0" w:after="0"/>
              <w:jc w:val="left"/>
            </w:pPr>
            <w:r>
              <w:rPr>
                <w:rFonts w:ascii="Cambria" w:hAnsi="Cambria"/>
                <w:b w:val="0"/>
                <w:color w:val="222222"/>
                <w:sz w:val="15"/>
              </w:rPr>
              <w:t>Are data and lessons learned converted into measurable improvements?</w:t>
            </w:r>
          </w:p>
        </w:tc>
        <w:tc>
          <w:tcPr>
            <w:tcW w:type="dxa" w:w="6336"/>
            <w:vAlign w:val="center"/>
          </w:tcPr>
          <w:p>
            <w:pPr>
              <w:spacing w:before="0" w:after="0"/>
              <w:jc w:val="left"/>
            </w:pPr>
            <w:r>
              <w:rPr>
                <w:rFonts w:ascii="Cambria" w:hAnsi="Cambria"/>
                <w:b w:val="0"/>
                <w:color w:val="222222"/>
                <w:sz w:val="15"/>
              </w:rPr>
              <w:t>Improvement portfolio, benefit tracking and management decisions</w:t>
            </w:r>
          </w:p>
        </w:tc>
      </w:tr>
    </w:tbl>
    <w:p>
      <w:pPr>
        <w:spacing w:before="80" w:after="80"/>
      </w:pPr>
      <w:r>
        <w:rPr>
          <w:rFonts w:ascii="Cambria" w:hAnsi="Cambria"/>
          <w:b/>
          <w:color w:val="7030A0"/>
          <w:sz w:val="24"/>
        </w:rPr>
        <w:t>QMS Governance Model</w:t>
      </w:r>
    </w:p>
    <w:tbl>
      <w:tblPr>
        <w:tblStyle w:val="MediumGrid1-Accent4"/>
        <w:tblW w:type="auto" w:w="0"/>
        <w:jc w:val="center"/>
        <w:tblLayout w:type="autofit"/>
        <w:tblLook w:firstColumn="1" w:firstRow="1" w:lastColumn="0" w:lastRow="0" w:noHBand="0" w:noVBand="1" w:val="04A0"/>
      </w:tblPr>
      <w:tblGrid>
        <w:gridCol w:w="3564"/>
        <w:gridCol w:w="3564"/>
        <w:gridCol w:w="3564"/>
        <w:gridCol w:w="3564"/>
      </w:tblGrid>
      <w:tr>
        <w:tc>
          <w:tcPr>
            <w:tcW w:type="dxa" w:w="2304"/>
            <w:vAlign w:val="center"/>
          </w:tcPr>
          <w:p>
            <w:pPr>
              <w:spacing w:before="0" w:after="0"/>
              <w:jc w:val="center"/>
            </w:pPr>
            <w:r>
              <w:rPr>
                <w:rFonts w:ascii="Cambria" w:hAnsi="Cambria"/>
                <w:b/>
                <w:color w:val="222222"/>
                <w:sz w:val="14"/>
              </w:rPr>
              <w:t>Governance Level</w:t>
            </w:r>
          </w:p>
        </w:tc>
        <w:tc>
          <w:tcPr>
            <w:tcW w:type="dxa" w:w="6624"/>
            <w:vAlign w:val="center"/>
          </w:tcPr>
          <w:p>
            <w:pPr>
              <w:spacing w:before="0" w:after="0"/>
              <w:jc w:val="center"/>
            </w:pPr>
            <w:r>
              <w:rPr>
                <w:rFonts w:ascii="Cambria" w:hAnsi="Cambria"/>
                <w:b/>
                <w:color w:val="222222"/>
                <w:sz w:val="14"/>
              </w:rPr>
              <w:t>Primary Responsibilities</w:t>
            </w:r>
          </w:p>
        </w:tc>
        <w:tc>
          <w:tcPr>
            <w:tcW w:type="dxa" w:w="2016"/>
            <w:vAlign w:val="center"/>
          </w:tcPr>
          <w:p>
            <w:pPr>
              <w:spacing w:before="0" w:after="0"/>
              <w:jc w:val="center"/>
            </w:pPr>
            <w:r>
              <w:rPr>
                <w:rFonts w:ascii="Cambria" w:hAnsi="Cambria"/>
                <w:b/>
                <w:color w:val="222222"/>
                <w:sz w:val="14"/>
              </w:rPr>
              <w:t>Review Cadence</w:t>
            </w:r>
          </w:p>
        </w:tc>
        <w:tc>
          <w:tcPr>
            <w:tcW w:type="dxa" w:w="4320"/>
            <w:vAlign w:val="center"/>
          </w:tcPr>
          <w:p>
            <w:pPr>
              <w:spacing w:before="0" w:after="0"/>
              <w:jc w:val="center"/>
            </w:pPr>
            <w:r>
              <w:rPr>
                <w:rFonts w:ascii="Cambria" w:hAnsi="Cambria"/>
                <w:b/>
                <w:color w:val="222222"/>
                <w:sz w:val="14"/>
              </w:rPr>
              <w:t>Typical Outputs</w:t>
            </w:r>
          </w:p>
        </w:tc>
      </w:tr>
      <w:tr>
        <w:tc>
          <w:tcPr>
            <w:tcW w:type="dxa" w:w="2304"/>
            <w:vAlign w:val="center"/>
          </w:tcPr>
          <w:p>
            <w:pPr>
              <w:spacing w:before="0" w:after="0"/>
              <w:jc w:val="left"/>
            </w:pPr>
            <w:r>
              <w:rPr>
                <w:rFonts w:ascii="Cambria" w:hAnsi="Cambria"/>
                <w:b w:val="0"/>
                <w:color w:val="222222"/>
                <w:sz w:val="14"/>
              </w:rPr>
              <w:t>Executive Management</w:t>
            </w:r>
          </w:p>
        </w:tc>
        <w:tc>
          <w:tcPr>
            <w:tcW w:type="dxa" w:w="6624"/>
            <w:vAlign w:val="center"/>
          </w:tcPr>
          <w:p>
            <w:pPr>
              <w:spacing w:before="0" w:after="0"/>
              <w:jc w:val="left"/>
            </w:pPr>
            <w:r>
              <w:rPr>
                <w:rFonts w:ascii="Cambria" w:hAnsi="Cambria"/>
                <w:b w:val="0"/>
                <w:color w:val="222222"/>
                <w:sz w:val="14"/>
              </w:rPr>
              <w:t>Policy, strategic objectives, risk appetite, resources and major priorities</w:t>
            </w:r>
          </w:p>
        </w:tc>
        <w:tc>
          <w:tcPr>
            <w:tcW w:type="dxa" w:w="2016"/>
            <w:vAlign w:val="center"/>
          </w:tcPr>
          <w:p>
            <w:pPr>
              <w:spacing w:before="0" w:after="0"/>
              <w:jc w:val="left"/>
            </w:pPr>
            <w:r>
              <w:rPr>
                <w:rFonts w:ascii="Cambria" w:hAnsi="Cambria"/>
                <w:b w:val="0"/>
                <w:color w:val="222222"/>
                <w:sz w:val="14"/>
              </w:rPr>
              <w:t>Quarterly / Semiannual</w:t>
            </w:r>
          </w:p>
        </w:tc>
        <w:tc>
          <w:tcPr>
            <w:tcW w:type="dxa" w:w="4320"/>
            <w:vAlign w:val="center"/>
          </w:tcPr>
          <w:p>
            <w:pPr>
              <w:spacing w:before="0" w:after="0"/>
              <w:jc w:val="left"/>
            </w:pPr>
            <w:r>
              <w:rPr>
                <w:rFonts w:ascii="Cambria" w:hAnsi="Cambria"/>
                <w:b w:val="0"/>
                <w:color w:val="222222"/>
                <w:sz w:val="14"/>
              </w:rPr>
              <w:t>Management-review decisions, funding and escalation direction</w:t>
            </w:r>
          </w:p>
        </w:tc>
      </w:tr>
      <w:tr>
        <w:tc>
          <w:tcPr>
            <w:tcW w:type="dxa" w:w="2304"/>
            <w:vAlign w:val="center"/>
          </w:tcPr>
          <w:p>
            <w:pPr>
              <w:spacing w:before="0" w:after="0"/>
              <w:jc w:val="left"/>
            </w:pPr>
            <w:r>
              <w:rPr>
                <w:rFonts w:ascii="Cambria" w:hAnsi="Cambria"/>
                <w:b w:val="0"/>
                <w:color w:val="222222"/>
                <w:sz w:val="14"/>
              </w:rPr>
              <w:t>QMS Steering Committee</w:t>
            </w:r>
          </w:p>
        </w:tc>
        <w:tc>
          <w:tcPr>
            <w:tcW w:type="dxa" w:w="6624"/>
            <w:vAlign w:val="center"/>
          </w:tcPr>
          <w:p>
            <w:pPr>
              <w:spacing w:before="0" w:after="0"/>
              <w:jc w:val="left"/>
            </w:pPr>
            <w:r>
              <w:rPr>
                <w:rFonts w:ascii="Cambria" w:hAnsi="Cambria"/>
                <w:b w:val="0"/>
                <w:color w:val="222222"/>
                <w:sz w:val="14"/>
              </w:rPr>
              <w:t>Cross-functional review of KPI, audit, CAPA, compliance and change</w:t>
            </w:r>
          </w:p>
        </w:tc>
        <w:tc>
          <w:tcPr>
            <w:tcW w:type="dxa" w:w="2016"/>
            <w:vAlign w:val="center"/>
          </w:tcPr>
          <w:p>
            <w:pPr>
              <w:spacing w:before="0" w:after="0"/>
              <w:jc w:val="left"/>
            </w:pPr>
            <w:r>
              <w:rPr>
                <w:rFonts w:ascii="Cambria" w:hAnsi="Cambria"/>
                <w:b w:val="0"/>
                <w:color w:val="222222"/>
                <w:sz w:val="14"/>
              </w:rPr>
              <w:t>Monthly</w:t>
            </w:r>
          </w:p>
        </w:tc>
        <w:tc>
          <w:tcPr>
            <w:tcW w:type="dxa" w:w="4320"/>
            <w:vAlign w:val="center"/>
          </w:tcPr>
          <w:p>
            <w:pPr>
              <w:spacing w:before="0" w:after="0"/>
              <w:jc w:val="left"/>
            </w:pPr>
            <w:r>
              <w:rPr>
                <w:rFonts w:ascii="Cambria" w:hAnsi="Cambria"/>
                <w:b w:val="0"/>
                <w:color w:val="222222"/>
                <w:sz w:val="14"/>
              </w:rPr>
              <w:t>Integrated action plan and enterprise quality priorities</w:t>
            </w:r>
          </w:p>
        </w:tc>
      </w:tr>
      <w:tr>
        <w:tc>
          <w:tcPr>
            <w:tcW w:type="dxa" w:w="2304"/>
            <w:vAlign w:val="center"/>
          </w:tcPr>
          <w:p>
            <w:pPr>
              <w:spacing w:before="0" w:after="0"/>
              <w:jc w:val="left"/>
            </w:pPr>
            <w:r>
              <w:rPr>
                <w:rFonts w:ascii="Cambria" w:hAnsi="Cambria"/>
                <w:b w:val="0"/>
                <w:color w:val="222222"/>
                <w:sz w:val="14"/>
              </w:rPr>
              <w:t>Process Owners</w:t>
            </w:r>
          </w:p>
        </w:tc>
        <w:tc>
          <w:tcPr>
            <w:tcW w:type="dxa" w:w="6624"/>
            <w:vAlign w:val="center"/>
          </w:tcPr>
          <w:p>
            <w:pPr>
              <w:spacing w:before="0" w:after="0"/>
              <w:jc w:val="left"/>
            </w:pPr>
            <w:r>
              <w:rPr>
                <w:rFonts w:ascii="Cambria" w:hAnsi="Cambria"/>
                <w:b w:val="0"/>
                <w:color w:val="222222"/>
                <w:sz w:val="14"/>
              </w:rPr>
              <w:t>Process control, local KPI, risk, competence and corrective action</w:t>
            </w:r>
          </w:p>
        </w:tc>
        <w:tc>
          <w:tcPr>
            <w:tcW w:type="dxa" w:w="2016"/>
            <w:vAlign w:val="center"/>
          </w:tcPr>
          <w:p>
            <w:pPr>
              <w:spacing w:before="0" w:after="0"/>
              <w:jc w:val="left"/>
            </w:pPr>
            <w:r>
              <w:rPr>
                <w:rFonts w:ascii="Cambria" w:hAnsi="Cambria"/>
                <w:b w:val="0"/>
                <w:color w:val="222222"/>
                <w:sz w:val="14"/>
              </w:rPr>
              <w:t>Monthly</w:t>
            </w:r>
          </w:p>
        </w:tc>
        <w:tc>
          <w:tcPr>
            <w:tcW w:type="dxa" w:w="4320"/>
            <w:vAlign w:val="center"/>
          </w:tcPr>
          <w:p>
            <w:pPr>
              <w:spacing w:before="0" w:after="0"/>
              <w:jc w:val="left"/>
            </w:pPr>
            <w:r>
              <w:rPr>
                <w:rFonts w:ascii="Cambria" w:hAnsi="Cambria"/>
                <w:b w:val="0"/>
                <w:color w:val="222222"/>
                <w:sz w:val="14"/>
              </w:rPr>
              <w:t>Process scorecard and action updates</w:t>
            </w:r>
          </w:p>
        </w:tc>
      </w:tr>
      <w:tr>
        <w:tc>
          <w:tcPr>
            <w:tcW w:type="dxa" w:w="2304"/>
            <w:vAlign w:val="center"/>
          </w:tcPr>
          <w:p>
            <w:pPr>
              <w:spacing w:before="0" w:after="0"/>
              <w:jc w:val="left"/>
            </w:pPr>
            <w:r>
              <w:rPr>
                <w:rFonts w:ascii="Cambria" w:hAnsi="Cambria"/>
                <w:b w:val="0"/>
                <w:color w:val="222222"/>
                <w:sz w:val="14"/>
              </w:rPr>
              <w:t>Quality Function</w:t>
            </w:r>
          </w:p>
        </w:tc>
        <w:tc>
          <w:tcPr>
            <w:tcW w:type="dxa" w:w="6624"/>
            <w:vAlign w:val="center"/>
          </w:tcPr>
          <w:p>
            <w:pPr>
              <w:spacing w:before="0" w:after="0"/>
              <w:jc w:val="left"/>
            </w:pPr>
            <w:r>
              <w:rPr>
                <w:rFonts w:ascii="Cambria" w:hAnsi="Cambria"/>
                <w:b w:val="0"/>
                <w:color w:val="222222"/>
                <w:sz w:val="14"/>
              </w:rPr>
              <w:t>System assurance, audit, data governance, CAPA oversight and reporting</w:t>
            </w:r>
          </w:p>
        </w:tc>
        <w:tc>
          <w:tcPr>
            <w:tcW w:type="dxa" w:w="2016"/>
            <w:vAlign w:val="center"/>
          </w:tcPr>
          <w:p>
            <w:pPr>
              <w:spacing w:before="0" w:after="0"/>
              <w:jc w:val="left"/>
            </w:pPr>
            <w:r>
              <w:rPr>
                <w:rFonts w:ascii="Cambria" w:hAnsi="Cambria"/>
                <w:b w:val="0"/>
                <w:color w:val="222222"/>
                <w:sz w:val="14"/>
              </w:rPr>
              <w:t>Ongoing / Monthly</w:t>
            </w:r>
          </w:p>
        </w:tc>
        <w:tc>
          <w:tcPr>
            <w:tcW w:type="dxa" w:w="4320"/>
            <w:vAlign w:val="center"/>
          </w:tcPr>
          <w:p>
            <w:pPr>
              <w:spacing w:before="0" w:after="0"/>
              <w:jc w:val="left"/>
            </w:pPr>
            <w:r>
              <w:rPr>
                <w:rFonts w:ascii="Cambria" w:hAnsi="Cambria"/>
                <w:b w:val="0"/>
                <w:color w:val="222222"/>
                <w:sz w:val="14"/>
              </w:rPr>
              <w:t>QMS dashboard, audit program and improvement analysis</w:t>
            </w:r>
          </w:p>
        </w:tc>
      </w:tr>
    </w:tbl>
    <w:p>
      <w:r>
        <w:br w:type="page"/>
      </w:r>
    </w:p>
    <w:p>
      <w:pPr>
        <w:spacing w:before="80" w:after="80"/>
      </w:pPr>
      <w:r>
        <w:rPr>
          <w:rFonts w:ascii="Cambria" w:hAnsi="Cambria"/>
          <w:b/>
          <w:color w:val="2F75B5"/>
          <w:sz w:val="24"/>
        </w:rPr>
        <w:t>2. EXECUTIVE QMS DASHBOARD</w:t>
      </w:r>
    </w:p>
    <w:tbl>
      <w:tblPr>
        <w:tblStyle w:val="LightShading-Accent1"/>
        <w:tblW w:type="auto" w:w="0"/>
        <w:jc w:val="center"/>
        <w:tblLayout w:type="autofit"/>
        <w:tblLook w:firstColumn="1" w:firstRow="1" w:lastColumn="0" w:lastRow="0" w:noHBand="0" w:noVBand="1" w:val="04A0"/>
      </w:tblPr>
      <w:tblGrid>
        <w:gridCol w:w="2376"/>
        <w:gridCol w:w="2376"/>
        <w:gridCol w:w="2376"/>
        <w:gridCol w:w="2376"/>
        <w:gridCol w:w="2376"/>
        <w:gridCol w:w="2376"/>
      </w:tblGrid>
      <w:tr>
        <w:tc>
          <w:tcPr>
            <w:tcW w:type="dxa" w:w="1728"/>
            <w:vAlign w:val="center"/>
          </w:tcPr>
          <w:p>
            <w:pPr>
              <w:spacing w:before="0" w:after="0"/>
              <w:jc w:val="left"/>
            </w:pPr>
            <w:r>
              <w:rPr>
                <w:rFonts w:ascii="Cambria" w:hAnsi="Cambria"/>
                <w:b w:val="0"/>
                <w:color w:val="222222"/>
                <w:sz w:val="15"/>
              </w:rPr>
              <w:t>Reporting Period</w:t>
            </w:r>
          </w:p>
        </w:tc>
        <w:tc>
          <w:tcPr>
            <w:tcW w:type="dxa" w:w="2160"/>
            <w:vAlign w:val="center"/>
          </w:tcPr>
          <w:p>
            <w:pPr>
              <w:spacing w:before="0" w:after="0"/>
              <w:jc w:val="left"/>
            </w:pPr>
            <w:r>
              <w:rPr>
                <w:rFonts w:ascii="Cambria" w:hAnsi="Cambria"/>
                <w:b w:val="0"/>
                <w:color w:val="222222"/>
                <w:sz w:val="15"/>
              </w:rPr>
              <w:t>May 2025</w:t>
            </w:r>
          </w:p>
        </w:tc>
        <w:tc>
          <w:tcPr>
            <w:tcW w:type="dxa" w:w="1728"/>
            <w:vAlign w:val="center"/>
          </w:tcPr>
          <w:p>
            <w:pPr>
              <w:spacing w:before="0" w:after="0"/>
              <w:jc w:val="left"/>
            </w:pPr>
            <w:r>
              <w:rPr>
                <w:rFonts w:ascii="Cambria" w:hAnsi="Cambria"/>
                <w:b w:val="0"/>
                <w:color w:val="222222"/>
                <w:sz w:val="15"/>
              </w:rPr>
              <w:t>Dashboard Owner</w:t>
            </w:r>
          </w:p>
        </w:tc>
        <w:tc>
          <w:tcPr>
            <w:tcW w:type="dxa" w:w="2880"/>
            <w:vAlign w:val="center"/>
          </w:tcPr>
          <w:p>
            <w:pPr>
              <w:spacing w:before="0" w:after="0"/>
              <w:jc w:val="left"/>
            </w:pPr>
            <w:r>
              <w:rPr>
                <w:rFonts w:ascii="Cambria" w:hAnsi="Cambria"/>
                <w:b w:val="0"/>
                <w:color w:val="222222"/>
                <w:sz w:val="15"/>
              </w:rPr>
              <w:t>Director of Quality</w:t>
            </w:r>
          </w:p>
        </w:tc>
        <w:tc>
          <w:tcPr>
            <w:tcW w:type="dxa" w:w="1872"/>
            <w:vAlign w:val="center"/>
          </w:tcPr>
          <w:p>
            <w:pPr>
              <w:spacing w:before="0" w:after="0"/>
              <w:jc w:val="left"/>
            </w:pPr>
            <w:r>
              <w:rPr>
                <w:rFonts w:ascii="Cambria" w:hAnsi="Cambria"/>
                <w:b w:val="0"/>
                <w:color w:val="222222"/>
                <w:sz w:val="15"/>
              </w:rPr>
              <w:t>Management Review</w:t>
            </w:r>
          </w:p>
        </w:tc>
        <w:tc>
          <w:tcPr>
            <w:tcW w:type="dxa" w:w="3168"/>
            <w:vAlign w:val="center"/>
          </w:tcPr>
          <w:p>
            <w:pPr>
              <w:spacing w:before="0" w:after="0"/>
              <w:jc w:val="left"/>
            </w:pPr>
            <w:r>
              <w:rPr>
                <w:rFonts w:ascii="Cambria" w:hAnsi="Cambria"/>
                <w:b w:val="0"/>
                <w:color w:val="222222"/>
                <w:sz w:val="15"/>
              </w:rPr>
              <w:t>Jun 10, 2025</w:t>
            </w:r>
          </w:p>
        </w:tc>
      </w:tr>
      <w:tr>
        <w:tc>
          <w:tcPr>
            <w:tcW w:type="dxa" w:w="1728"/>
            <w:vAlign w:val="center"/>
          </w:tcPr>
          <w:p>
            <w:pPr>
              <w:spacing w:before="0" w:after="0"/>
              <w:jc w:val="left"/>
            </w:pPr>
            <w:r>
              <w:rPr>
                <w:rFonts w:ascii="Cambria" w:hAnsi="Cambria"/>
                <w:b w:val="0"/>
                <w:color w:val="222222"/>
                <w:sz w:val="15"/>
              </w:rPr>
              <w:t>Scope</w:t>
            </w:r>
          </w:p>
        </w:tc>
        <w:tc>
          <w:tcPr>
            <w:tcW w:type="dxa" w:w="2160"/>
            <w:vAlign w:val="center"/>
          </w:tcPr>
          <w:p>
            <w:pPr>
              <w:spacing w:before="0" w:after="0"/>
              <w:jc w:val="left"/>
            </w:pPr>
            <w:r>
              <w:rPr>
                <w:rFonts w:ascii="Cambria" w:hAnsi="Cambria"/>
                <w:b w:val="0"/>
                <w:color w:val="222222"/>
                <w:sz w:val="15"/>
              </w:rPr>
              <w:t>Enterprise QMS</w:t>
            </w:r>
          </w:p>
        </w:tc>
        <w:tc>
          <w:tcPr>
            <w:tcW w:type="dxa" w:w="1728"/>
            <w:vAlign w:val="center"/>
          </w:tcPr>
          <w:p>
            <w:pPr>
              <w:spacing w:before="0" w:after="0"/>
              <w:jc w:val="left"/>
            </w:pPr>
            <w:r>
              <w:rPr>
                <w:rFonts w:ascii="Cambria" w:hAnsi="Cambria"/>
                <w:b w:val="0"/>
                <w:color w:val="222222"/>
                <w:sz w:val="15"/>
              </w:rPr>
              <w:t>Comparison</w:t>
            </w:r>
          </w:p>
        </w:tc>
        <w:tc>
          <w:tcPr>
            <w:tcW w:type="dxa" w:w="2880"/>
            <w:vAlign w:val="center"/>
          </w:tcPr>
          <w:p>
            <w:pPr>
              <w:spacing w:before="0" w:after="0"/>
              <w:jc w:val="left"/>
            </w:pPr>
            <w:r>
              <w:rPr>
                <w:rFonts w:ascii="Cambria" w:hAnsi="Cambria"/>
                <w:b w:val="0"/>
                <w:color w:val="222222"/>
                <w:sz w:val="15"/>
              </w:rPr>
              <w:t>April 2025</w:t>
            </w:r>
          </w:p>
        </w:tc>
        <w:tc>
          <w:tcPr>
            <w:tcW w:type="dxa" w:w="1872"/>
            <w:vAlign w:val="center"/>
          </w:tcPr>
          <w:p>
            <w:pPr>
              <w:spacing w:before="0" w:after="0"/>
              <w:jc w:val="left"/>
            </w:pPr>
            <w:r>
              <w:rPr>
                <w:rFonts w:ascii="Cambria" w:hAnsi="Cambria"/>
                <w:b w:val="0"/>
                <w:color w:val="222222"/>
                <w:sz w:val="15"/>
              </w:rPr>
              <w:t>Data Status</w:t>
            </w:r>
          </w:p>
        </w:tc>
        <w:tc>
          <w:tcPr>
            <w:tcW w:type="dxa" w:w="3168"/>
            <w:vAlign w:val="center"/>
          </w:tcPr>
          <w:p>
            <w:pPr>
              <w:spacing w:before="0" w:after="0"/>
              <w:jc w:val="left"/>
            </w:pPr>
            <w:r>
              <w:rPr>
                <w:rFonts w:ascii="Cambria" w:hAnsi="Cambria"/>
                <w:b w:val="0"/>
                <w:color w:val="222222"/>
                <w:sz w:val="15"/>
              </w:rPr>
              <w:t>Management Review Draft</w:t>
            </w:r>
          </w:p>
        </w:tc>
      </w:tr>
    </w:tbl>
    <w:p/>
    <w:tbl>
      <w:tblPr>
        <w:tblStyle w:val="LightShading-Accent1"/>
        <w:tblW w:type="auto" w:w="0"/>
        <w:jc w:val="center"/>
        <w:tblLook w:firstColumn="1" w:firstRow="1" w:lastColumn="0" w:lastRow="0" w:noHBand="0" w:noVBand="1" w:val="04A0"/>
      </w:tblPr>
      <w:tblGrid>
        <w:gridCol w:w="3564"/>
        <w:gridCol w:w="3564"/>
        <w:gridCol w:w="3564"/>
        <w:gridCol w:w="3564"/>
      </w:tblGrid>
      <w:tr>
        <w:tc>
          <w:tcPr>
            <w:tcW w:type="dxa" w:w="3564"/>
            <w:vAlign w:val="center"/>
          </w:tcPr>
          <w:p>
            <w:pPr>
              <w:spacing w:before="0" w:after="40"/>
              <w:jc w:val="center"/>
            </w:pPr>
            <w:r/>
            <w:r>
              <w:rPr>
                <w:rFonts w:ascii="Cambria" w:hAnsi="Cambria"/>
                <w:b/>
                <w:color w:val="2F75B5"/>
                <w:sz w:val="16"/>
              </w:rPr>
              <w:t>QMS COMPLIANCE</w:t>
            </w:r>
          </w:p>
          <w:p>
            <w:pPr>
              <w:spacing w:before="0" w:after="40"/>
              <w:jc w:val="center"/>
            </w:pPr>
            <w:r>
              <w:rPr>
                <w:rFonts w:ascii="Cambria" w:hAnsi="Cambria"/>
                <w:b/>
                <w:color w:val="2F75B5"/>
                <w:sz w:val="40"/>
              </w:rPr>
              <w:t>98.6%</w:t>
            </w:r>
          </w:p>
          <w:p>
            <w:pPr>
              <w:spacing w:before="0" w:after="0"/>
              <w:jc w:val="center"/>
            </w:pPr>
            <w:r>
              <w:rPr>
                <w:rFonts w:ascii="Cambria" w:hAnsi="Cambria"/>
                <w:b/>
                <w:color w:val="666666"/>
                <w:sz w:val="14"/>
              </w:rPr>
              <w:t>Up 1.8% vs prior month</w:t>
            </w:r>
          </w:p>
        </w:tc>
        <w:tc>
          <w:tcPr>
            <w:tcW w:type="dxa" w:w="3564"/>
            <w:vAlign w:val="center"/>
          </w:tcPr>
          <w:p>
            <w:pPr>
              <w:spacing w:before="0" w:after="40"/>
              <w:jc w:val="center"/>
            </w:pPr>
            <w:r/>
            <w:r>
              <w:rPr>
                <w:rFonts w:ascii="Cambria" w:hAnsi="Cambria"/>
                <w:b/>
                <w:color w:val="2E9D50"/>
                <w:sz w:val="16"/>
              </w:rPr>
              <w:t>CAPA CLOSURE</w:t>
            </w:r>
          </w:p>
          <w:p>
            <w:pPr>
              <w:spacing w:before="0" w:after="40"/>
              <w:jc w:val="center"/>
            </w:pPr>
            <w:r>
              <w:rPr>
                <w:rFonts w:ascii="Cambria" w:hAnsi="Cambria"/>
                <w:b/>
                <w:color w:val="2E9D50"/>
                <w:sz w:val="40"/>
              </w:rPr>
              <w:t>92.4%</w:t>
            </w:r>
          </w:p>
          <w:p>
            <w:pPr>
              <w:spacing w:before="0" w:after="0"/>
              <w:jc w:val="center"/>
            </w:pPr>
            <w:r>
              <w:rPr>
                <w:rFonts w:ascii="Cambria" w:hAnsi="Cambria"/>
                <w:b/>
                <w:color w:val="666666"/>
                <w:sz w:val="14"/>
              </w:rPr>
              <w:t>Up 3.6% vs prior month</w:t>
            </w:r>
          </w:p>
        </w:tc>
        <w:tc>
          <w:tcPr>
            <w:tcW w:type="dxa" w:w="3564"/>
            <w:vAlign w:val="center"/>
          </w:tcPr>
          <w:p>
            <w:pPr>
              <w:spacing w:before="0" w:after="40"/>
              <w:jc w:val="center"/>
            </w:pPr>
            <w:r/>
            <w:r>
              <w:rPr>
                <w:rFonts w:ascii="Cambria" w:hAnsi="Cambria"/>
                <w:b/>
                <w:color w:val="7030A0"/>
                <w:sz w:val="16"/>
              </w:rPr>
              <w:t>AUDIT COMPLETION</w:t>
            </w:r>
          </w:p>
          <w:p>
            <w:pPr>
              <w:spacing w:before="0" w:after="40"/>
              <w:jc w:val="center"/>
            </w:pPr>
            <w:r>
              <w:rPr>
                <w:rFonts w:ascii="Cambria" w:hAnsi="Cambria"/>
                <w:b/>
                <w:color w:val="7030A0"/>
                <w:sz w:val="40"/>
              </w:rPr>
              <w:t>87.5%</w:t>
            </w:r>
          </w:p>
          <w:p>
            <w:pPr>
              <w:spacing w:before="0" w:after="0"/>
              <w:jc w:val="center"/>
            </w:pPr>
            <w:r>
              <w:rPr>
                <w:rFonts w:ascii="Cambria" w:hAnsi="Cambria"/>
                <w:b/>
                <w:color w:val="666666"/>
                <w:sz w:val="14"/>
              </w:rPr>
              <w:t>Two audits rescheduled</w:t>
            </w:r>
          </w:p>
        </w:tc>
        <w:tc>
          <w:tcPr>
            <w:tcW w:type="dxa" w:w="3564"/>
            <w:vAlign w:val="center"/>
          </w:tcPr>
          <w:p>
            <w:pPr>
              <w:spacing w:before="0" w:after="40"/>
              <w:jc w:val="center"/>
            </w:pPr>
            <w:r/>
            <w:r>
              <w:rPr>
                <w:rFonts w:ascii="Cambria" w:hAnsi="Cambria"/>
                <w:b/>
                <w:color w:val="ED7D31"/>
                <w:sz w:val="16"/>
              </w:rPr>
              <w:t>TRAINING COMPLETION</w:t>
            </w:r>
          </w:p>
          <w:p>
            <w:pPr>
              <w:spacing w:before="0" w:after="40"/>
              <w:jc w:val="center"/>
            </w:pPr>
            <w:r>
              <w:rPr>
                <w:rFonts w:ascii="Cambria" w:hAnsi="Cambria"/>
                <w:b/>
                <w:color w:val="ED7D31"/>
                <w:sz w:val="40"/>
              </w:rPr>
              <w:t>94.7%</w:t>
            </w:r>
          </w:p>
          <w:p>
            <w:pPr>
              <w:spacing w:before="0" w:after="0"/>
              <w:jc w:val="center"/>
            </w:pPr>
            <w:r>
              <w:rPr>
                <w:rFonts w:ascii="Cambria" w:hAnsi="Cambria"/>
                <w:b/>
                <w:color w:val="666666"/>
                <w:sz w:val="14"/>
              </w:rPr>
              <w:t>Supply Chain remains below target</w:t>
            </w:r>
          </w:p>
        </w:tc>
      </w:tr>
    </w:tbl>
    <w:p/>
    <w:p>
      <w:pPr>
        <w:spacing w:before="0" w:after="40"/>
        <w:jc w:val="center"/>
      </w:pPr>
      <w:r>
        <w:drawing>
          <wp:inline xmlns:a="http://schemas.openxmlformats.org/drawingml/2006/main" xmlns:pic="http://schemas.openxmlformats.org/drawingml/2006/picture">
            <wp:extent cx="9235440" cy="3679901"/>
            <wp:docPr id="1" name="Picture 1"/>
            <wp:cNvGraphicFramePr>
              <a:graphicFrameLocks noChangeAspect="1"/>
            </wp:cNvGraphicFramePr>
            <a:graphic>
              <a:graphicData uri="http://schemas.openxmlformats.org/drawingml/2006/picture">
                <pic:pic>
                  <pic:nvPicPr>
                    <pic:cNvPr id="0" name="dashboard_top.png"/>
                    <pic:cNvPicPr/>
                  </pic:nvPicPr>
                  <pic:blipFill>
                    <a:blip r:embed="rId11"/>
                    <a:stretch>
                      <a:fillRect/>
                    </a:stretch>
                  </pic:blipFill>
                  <pic:spPr>
                    <a:xfrm>
                      <a:off x="0" y="0"/>
                      <a:ext cx="9235440" cy="3679901"/>
                    </a:xfrm>
                    <a:prstGeom prst="rect"/>
                  </pic:spPr>
                </pic:pic>
              </a:graphicData>
            </a:graphic>
          </wp:inline>
        </w:drawing>
      </w:r>
    </w:p>
    <w:p>
      <w:r>
        <w:br w:type="page"/>
      </w:r>
    </w:p>
    <w:p>
      <w:pPr>
        <w:spacing w:before="80" w:after="80"/>
      </w:pPr>
      <w:r>
        <w:rPr>
          <w:rFonts w:ascii="Cambria" w:hAnsi="Cambria"/>
          <w:b/>
          <w:color w:val="008C95"/>
          <w:sz w:val="24"/>
        </w:rPr>
        <w:t>2A. CORRECTIVE ACTION &amp; COMPETENCE ANALYTICS</w:t>
      </w:r>
    </w:p>
    <w:p>
      <w:pPr>
        <w:spacing w:before="0" w:after="60"/>
        <w:jc w:val="center"/>
      </w:pPr>
      <w:r>
        <w:drawing>
          <wp:inline xmlns:a="http://schemas.openxmlformats.org/drawingml/2006/main" xmlns:pic="http://schemas.openxmlformats.org/drawingml/2006/picture">
            <wp:extent cx="9235440" cy="2554102"/>
            <wp:docPr id="2" name="Picture 2"/>
            <wp:cNvGraphicFramePr>
              <a:graphicFrameLocks noChangeAspect="1"/>
            </wp:cNvGraphicFramePr>
            <a:graphic>
              <a:graphicData uri="http://schemas.openxmlformats.org/drawingml/2006/picture">
                <pic:pic>
                  <pic:nvPicPr>
                    <pic:cNvPr id="0" name="dashboard_bottom.png"/>
                    <pic:cNvPicPr/>
                  </pic:nvPicPr>
                  <pic:blipFill>
                    <a:blip r:embed="rId12"/>
                    <a:stretch>
                      <a:fillRect/>
                    </a:stretch>
                  </pic:blipFill>
                  <pic:spPr>
                    <a:xfrm>
                      <a:off x="0" y="0"/>
                      <a:ext cx="9235440" cy="2554102"/>
                    </a:xfrm>
                    <a:prstGeom prst="rect"/>
                  </pic:spPr>
                </pic:pic>
              </a:graphicData>
            </a:graphic>
          </wp:inline>
        </w:drawing>
      </w:r>
    </w:p>
    <w:tbl>
      <w:tblPr>
        <w:tblStyle w:val="LightGrid-Accent5"/>
        <w:tblW w:type="auto" w:w="0"/>
        <w:jc w:val="center"/>
        <w:tblLayout w:type="autofit"/>
        <w:tblLook w:firstColumn="1" w:firstRow="1" w:lastColumn="0" w:lastRow="0" w:noHBand="0" w:noVBand="1" w:val="04A0"/>
      </w:tblPr>
      <w:tblGrid>
        <w:gridCol w:w="4752"/>
        <w:gridCol w:w="4752"/>
        <w:gridCol w:w="4752"/>
      </w:tblGrid>
      <w:tr>
        <w:tc>
          <w:tcPr>
            <w:tcW w:type="dxa" w:w="3024"/>
            <w:vAlign w:val="center"/>
          </w:tcPr>
          <w:p>
            <w:pPr>
              <w:spacing w:before="0" w:after="0"/>
              <w:jc w:val="center"/>
            </w:pPr>
            <w:r>
              <w:rPr>
                <w:rFonts w:ascii="Cambria" w:hAnsi="Cambria"/>
                <w:b/>
                <w:color w:val="222222"/>
                <w:sz w:val="14"/>
              </w:rPr>
              <w:t>Management Observation</w:t>
            </w:r>
          </w:p>
        </w:tc>
        <w:tc>
          <w:tcPr>
            <w:tcW w:type="dxa" w:w="5904"/>
            <w:vAlign w:val="center"/>
          </w:tcPr>
          <w:p>
            <w:pPr>
              <w:spacing w:before="0" w:after="0"/>
              <w:jc w:val="center"/>
            </w:pPr>
            <w:r>
              <w:rPr>
                <w:rFonts w:ascii="Cambria" w:hAnsi="Cambria"/>
                <w:b/>
                <w:color w:val="222222"/>
                <w:sz w:val="14"/>
              </w:rPr>
              <w:t>Current Position</w:t>
            </w:r>
          </w:p>
        </w:tc>
        <w:tc>
          <w:tcPr>
            <w:tcW w:type="dxa" w:w="5904"/>
            <w:vAlign w:val="center"/>
          </w:tcPr>
          <w:p>
            <w:pPr>
              <w:spacing w:before="0" w:after="0"/>
              <w:jc w:val="center"/>
            </w:pPr>
            <w:r>
              <w:rPr>
                <w:rFonts w:ascii="Cambria" w:hAnsi="Cambria"/>
                <w:b/>
                <w:color w:val="222222"/>
                <w:sz w:val="14"/>
              </w:rPr>
              <w:t>Required Direction</w:t>
            </w:r>
          </w:p>
        </w:tc>
      </w:tr>
      <w:tr>
        <w:tc>
          <w:tcPr>
            <w:tcW w:type="dxa" w:w="3024"/>
            <w:vAlign w:val="center"/>
          </w:tcPr>
          <w:p>
            <w:pPr>
              <w:spacing w:before="0" w:after="0"/>
              <w:jc w:val="left"/>
            </w:pPr>
            <w:r>
              <w:rPr>
                <w:rFonts w:ascii="Cambria" w:hAnsi="Cambria"/>
                <w:b w:val="0"/>
                <w:color w:val="222222"/>
                <w:sz w:val="14"/>
              </w:rPr>
              <w:t>CAPA Aging</w:t>
            </w:r>
          </w:p>
        </w:tc>
        <w:tc>
          <w:tcPr>
            <w:tcW w:type="dxa" w:w="5904"/>
            <w:vAlign w:val="center"/>
          </w:tcPr>
          <w:p>
            <w:pPr>
              <w:spacing w:before="0" w:after="0"/>
              <w:jc w:val="left"/>
            </w:pPr>
            <w:r>
              <w:rPr>
                <w:rFonts w:ascii="Cambria" w:hAnsi="Cambria"/>
                <w:b w:val="0"/>
                <w:color w:val="222222"/>
                <w:sz w:val="14"/>
              </w:rPr>
              <w:t>Seven overdue items and eighteen due within 30 days</w:t>
            </w:r>
          </w:p>
        </w:tc>
        <w:tc>
          <w:tcPr>
            <w:tcW w:type="dxa" w:w="5904"/>
            <w:vAlign w:val="center"/>
          </w:tcPr>
          <w:p>
            <w:pPr>
              <w:spacing w:before="0" w:after="0"/>
              <w:jc w:val="left"/>
            </w:pPr>
            <w:r>
              <w:rPr>
                <w:rFonts w:ascii="Cambria" w:hAnsi="Cambria"/>
                <w:b w:val="0"/>
                <w:color w:val="222222"/>
                <w:sz w:val="14"/>
              </w:rPr>
              <w:t>Prioritize aging reduction and effectiveness verification</w:t>
            </w:r>
          </w:p>
        </w:tc>
      </w:tr>
      <w:tr>
        <w:tc>
          <w:tcPr>
            <w:tcW w:type="dxa" w:w="3024"/>
            <w:vAlign w:val="center"/>
          </w:tcPr>
          <w:p>
            <w:pPr>
              <w:spacing w:before="0" w:after="0"/>
              <w:jc w:val="left"/>
            </w:pPr>
            <w:r>
              <w:rPr>
                <w:rFonts w:ascii="Cambria" w:hAnsi="Cambria"/>
                <w:b w:val="0"/>
                <w:color w:val="222222"/>
                <w:sz w:val="14"/>
              </w:rPr>
              <w:t>Training</w:t>
            </w:r>
          </w:p>
        </w:tc>
        <w:tc>
          <w:tcPr>
            <w:tcW w:type="dxa" w:w="5904"/>
            <w:vAlign w:val="center"/>
          </w:tcPr>
          <w:p>
            <w:pPr>
              <w:spacing w:before="0" w:after="0"/>
              <w:jc w:val="left"/>
            </w:pPr>
            <w:r>
              <w:rPr>
                <w:rFonts w:ascii="Cambria" w:hAnsi="Cambria"/>
                <w:b w:val="0"/>
                <w:color w:val="222222"/>
                <w:sz w:val="14"/>
              </w:rPr>
              <w:t>Overall completion 94.7%; Supply Chain is below target</w:t>
            </w:r>
          </w:p>
        </w:tc>
        <w:tc>
          <w:tcPr>
            <w:tcW w:type="dxa" w:w="5904"/>
            <w:vAlign w:val="center"/>
          </w:tcPr>
          <w:p>
            <w:pPr>
              <w:spacing w:before="0" w:after="0"/>
              <w:jc w:val="left"/>
            </w:pPr>
            <w:r>
              <w:rPr>
                <w:rFonts w:ascii="Cambria" w:hAnsi="Cambria"/>
                <w:b w:val="0"/>
                <w:color w:val="222222"/>
                <w:sz w:val="14"/>
              </w:rPr>
              <w:t>Complete mandatory training and protect learning time</w:t>
            </w:r>
          </w:p>
        </w:tc>
      </w:tr>
    </w:tbl>
    <w:p>
      <w:r>
        <w:br w:type="page"/>
      </w:r>
    </w:p>
    <w:p>
      <w:pPr>
        <w:spacing w:before="80" w:after="80"/>
      </w:pPr>
      <w:r>
        <w:rPr>
          <w:rFonts w:ascii="Cambria" w:hAnsi="Cambria"/>
          <w:b/>
          <w:color w:val="7030A0"/>
          <w:sz w:val="24"/>
        </w:rPr>
        <w:t>3. QMS ARCHITECTURE &amp; PROCESS GOVERNANCE</w:t>
      </w:r>
    </w:p>
    <w:p>
      <w:pPr>
        <w:spacing w:before="0" w:after="80"/>
      </w:pPr>
      <w:r>
        <w:rPr>
          <w:rFonts w:ascii="Cambria" w:hAnsi="Cambria"/>
          <w:b w:val="0"/>
          <w:color w:val="666666"/>
          <w:sz w:val="18"/>
        </w:rPr>
        <w:t>The architecture below integrates leadership, planning, operational control, assurance and improvement using the Plan-Do-Check-Act model.</w:t>
      </w:r>
    </w:p>
    <w:p>
      <w:pPr>
        <w:spacing w:before="0" w:after="80"/>
        <w:jc w:val="center"/>
      </w:pPr>
      <w:r>
        <w:drawing>
          <wp:inline xmlns:a="http://schemas.openxmlformats.org/drawingml/2006/main" xmlns:pic="http://schemas.openxmlformats.org/drawingml/2006/picture">
            <wp:extent cx="8686800" cy="2516736"/>
            <wp:docPr id="3" name="Picture 3"/>
            <wp:cNvGraphicFramePr>
              <a:graphicFrameLocks noChangeAspect="1"/>
            </wp:cNvGraphicFramePr>
            <a:graphic>
              <a:graphicData uri="http://schemas.openxmlformats.org/drawingml/2006/picture">
                <pic:pic>
                  <pic:nvPicPr>
                    <pic:cNvPr id="0" name="qms_architecture.png"/>
                    <pic:cNvPicPr/>
                  </pic:nvPicPr>
                  <pic:blipFill>
                    <a:blip r:embed="rId13"/>
                    <a:stretch>
                      <a:fillRect/>
                    </a:stretch>
                  </pic:blipFill>
                  <pic:spPr>
                    <a:xfrm>
                      <a:off x="0" y="0"/>
                      <a:ext cx="8686800" cy="2516736"/>
                    </a:xfrm>
                    <a:prstGeom prst="rect"/>
                  </pic:spPr>
                </pic:pic>
              </a:graphicData>
            </a:graphic>
          </wp:inline>
        </w:drawing>
      </w:r>
    </w:p>
    <w:tbl>
      <w:tblPr>
        <w:tblStyle w:val="ColorfulGrid-Accent4"/>
        <w:tblW w:type="auto" w:w="0"/>
        <w:jc w:val="center"/>
        <w:tblLayout w:type="autofit"/>
        <w:tblLook w:firstColumn="1" w:firstRow="1" w:lastColumn="0" w:lastRow="0" w:noHBand="0" w:noVBand="1" w:val="04A0"/>
      </w:tblPr>
      <w:tblGrid>
        <w:gridCol w:w="3564"/>
        <w:gridCol w:w="3564"/>
        <w:gridCol w:w="3564"/>
        <w:gridCol w:w="3564"/>
      </w:tblGrid>
      <w:tr>
        <w:tc>
          <w:tcPr>
            <w:tcW w:type="dxa" w:w="2160"/>
            <w:vAlign w:val="center"/>
          </w:tcPr>
          <w:p>
            <w:pPr>
              <w:spacing w:before="0" w:after="0"/>
              <w:jc w:val="center"/>
            </w:pPr>
            <w:r>
              <w:rPr>
                <w:rFonts w:ascii="Cambria" w:hAnsi="Cambria"/>
                <w:b/>
                <w:color w:val="222222"/>
                <w:sz w:val="14"/>
              </w:rPr>
              <w:t>QMS Layer</w:t>
            </w:r>
          </w:p>
        </w:tc>
        <w:tc>
          <w:tcPr>
            <w:tcW w:type="dxa" w:w="4464"/>
            <w:vAlign w:val="center"/>
          </w:tcPr>
          <w:p>
            <w:pPr>
              <w:spacing w:before="0" w:after="0"/>
              <w:jc w:val="center"/>
            </w:pPr>
            <w:r>
              <w:rPr>
                <w:rFonts w:ascii="Cambria" w:hAnsi="Cambria"/>
                <w:b/>
                <w:color w:val="222222"/>
                <w:sz w:val="14"/>
              </w:rPr>
              <w:t>Core Processes</w:t>
            </w:r>
          </w:p>
        </w:tc>
        <w:tc>
          <w:tcPr>
            <w:tcW w:type="dxa" w:w="4320"/>
            <w:vAlign w:val="center"/>
          </w:tcPr>
          <w:p>
            <w:pPr>
              <w:spacing w:before="0" w:after="0"/>
              <w:jc w:val="center"/>
            </w:pPr>
            <w:r>
              <w:rPr>
                <w:rFonts w:ascii="Cambria" w:hAnsi="Cambria"/>
                <w:b/>
                <w:color w:val="222222"/>
                <w:sz w:val="14"/>
              </w:rPr>
              <w:t>Director-Level Control</w:t>
            </w:r>
          </w:p>
        </w:tc>
        <w:tc>
          <w:tcPr>
            <w:tcW w:type="dxa" w:w="4464"/>
            <w:vAlign w:val="center"/>
          </w:tcPr>
          <w:p>
            <w:pPr>
              <w:spacing w:before="0" w:after="0"/>
              <w:jc w:val="center"/>
            </w:pPr>
            <w:r>
              <w:rPr>
                <w:rFonts w:ascii="Cambria" w:hAnsi="Cambria"/>
                <w:b/>
                <w:color w:val="222222"/>
                <w:sz w:val="14"/>
              </w:rPr>
              <w:t>Evidence</w:t>
            </w:r>
          </w:p>
        </w:tc>
      </w:tr>
      <w:tr>
        <w:tc>
          <w:tcPr>
            <w:tcW w:type="dxa" w:w="2160"/>
            <w:vAlign w:val="center"/>
          </w:tcPr>
          <w:p>
            <w:pPr>
              <w:spacing w:before="0" w:after="0"/>
              <w:jc w:val="left"/>
            </w:pPr>
            <w:r>
              <w:rPr>
                <w:rFonts w:ascii="Cambria" w:hAnsi="Cambria"/>
                <w:b w:val="0"/>
                <w:color w:val="222222"/>
                <w:sz w:val="14"/>
              </w:rPr>
              <w:t>Leadership &amp; Direction</w:t>
            </w:r>
          </w:p>
        </w:tc>
        <w:tc>
          <w:tcPr>
            <w:tcW w:type="dxa" w:w="4464"/>
            <w:vAlign w:val="center"/>
          </w:tcPr>
          <w:p>
            <w:pPr>
              <w:spacing w:before="0" w:after="0"/>
              <w:jc w:val="left"/>
            </w:pPr>
            <w:r>
              <w:rPr>
                <w:rFonts w:ascii="Cambria" w:hAnsi="Cambria"/>
                <w:b w:val="0"/>
                <w:color w:val="222222"/>
                <w:sz w:val="14"/>
              </w:rPr>
              <w:t>Policy, objectives, governance and management review</w:t>
            </w:r>
          </w:p>
        </w:tc>
        <w:tc>
          <w:tcPr>
            <w:tcW w:type="dxa" w:w="4320"/>
            <w:vAlign w:val="center"/>
          </w:tcPr>
          <w:p>
            <w:pPr>
              <w:spacing w:before="0" w:after="0"/>
              <w:jc w:val="left"/>
            </w:pPr>
            <w:r>
              <w:rPr>
                <w:rFonts w:ascii="Cambria" w:hAnsi="Cambria"/>
                <w:b w:val="0"/>
                <w:color w:val="222222"/>
                <w:sz w:val="14"/>
              </w:rPr>
              <w:t>Strategic alignment and accountability</w:t>
            </w:r>
          </w:p>
        </w:tc>
        <w:tc>
          <w:tcPr>
            <w:tcW w:type="dxa" w:w="4464"/>
            <w:vAlign w:val="center"/>
          </w:tcPr>
          <w:p>
            <w:pPr>
              <w:spacing w:before="0" w:after="0"/>
              <w:jc w:val="left"/>
            </w:pPr>
            <w:r>
              <w:rPr>
                <w:rFonts w:ascii="Cambria" w:hAnsi="Cambria"/>
                <w:b w:val="0"/>
                <w:color w:val="222222"/>
                <w:sz w:val="14"/>
              </w:rPr>
              <w:t>Approved policy, objectives and review minutes</w:t>
            </w:r>
          </w:p>
        </w:tc>
      </w:tr>
      <w:tr>
        <w:tc>
          <w:tcPr>
            <w:tcW w:type="dxa" w:w="2160"/>
            <w:vAlign w:val="center"/>
          </w:tcPr>
          <w:p>
            <w:pPr>
              <w:spacing w:before="0" w:after="0"/>
              <w:jc w:val="left"/>
            </w:pPr>
            <w:r>
              <w:rPr>
                <w:rFonts w:ascii="Cambria" w:hAnsi="Cambria"/>
                <w:b w:val="0"/>
                <w:color w:val="222222"/>
                <w:sz w:val="14"/>
              </w:rPr>
              <w:t>Planning &amp; Risk</w:t>
            </w:r>
          </w:p>
        </w:tc>
        <w:tc>
          <w:tcPr>
            <w:tcW w:type="dxa" w:w="4464"/>
            <w:vAlign w:val="center"/>
          </w:tcPr>
          <w:p>
            <w:pPr>
              <w:spacing w:before="0" w:after="0"/>
              <w:jc w:val="left"/>
            </w:pPr>
            <w:r>
              <w:rPr>
                <w:rFonts w:ascii="Cambria" w:hAnsi="Cambria"/>
                <w:b w:val="0"/>
                <w:color w:val="222222"/>
                <w:sz w:val="14"/>
              </w:rPr>
              <w:t>Context, interested parties, risk and change planning</w:t>
            </w:r>
          </w:p>
        </w:tc>
        <w:tc>
          <w:tcPr>
            <w:tcW w:type="dxa" w:w="4320"/>
            <w:vAlign w:val="center"/>
          </w:tcPr>
          <w:p>
            <w:pPr>
              <w:spacing w:before="0" w:after="0"/>
              <w:jc w:val="left"/>
            </w:pPr>
            <w:r>
              <w:rPr>
                <w:rFonts w:ascii="Cambria" w:hAnsi="Cambria"/>
                <w:b w:val="0"/>
                <w:color w:val="222222"/>
                <w:sz w:val="14"/>
              </w:rPr>
              <w:t>Risk-based thinking and resource prioritization</w:t>
            </w:r>
          </w:p>
        </w:tc>
        <w:tc>
          <w:tcPr>
            <w:tcW w:type="dxa" w:w="4464"/>
            <w:vAlign w:val="center"/>
          </w:tcPr>
          <w:p>
            <w:pPr>
              <w:spacing w:before="0" w:after="0"/>
              <w:jc w:val="left"/>
            </w:pPr>
            <w:r>
              <w:rPr>
                <w:rFonts w:ascii="Cambria" w:hAnsi="Cambria"/>
                <w:b w:val="0"/>
                <w:color w:val="222222"/>
                <w:sz w:val="14"/>
              </w:rPr>
              <w:t>Risk register, change plans and compliance obligations</w:t>
            </w:r>
          </w:p>
        </w:tc>
      </w:tr>
      <w:tr>
        <w:tc>
          <w:tcPr>
            <w:tcW w:type="dxa" w:w="2160"/>
            <w:vAlign w:val="center"/>
          </w:tcPr>
          <w:p>
            <w:pPr>
              <w:spacing w:before="0" w:after="0"/>
              <w:jc w:val="left"/>
            </w:pPr>
            <w:r>
              <w:rPr>
                <w:rFonts w:ascii="Cambria" w:hAnsi="Cambria"/>
                <w:b w:val="0"/>
                <w:color w:val="222222"/>
                <w:sz w:val="14"/>
              </w:rPr>
              <w:t>Operational Control</w:t>
            </w:r>
          </w:p>
        </w:tc>
        <w:tc>
          <w:tcPr>
            <w:tcW w:type="dxa" w:w="4464"/>
            <w:vAlign w:val="center"/>
          </w:tcPr>
          <w:p>
            <w:pPr>
              <w:spacing w:before="0" w:after="0"/>
              <w:jc w:val="left"/>
            </w:pPr>
            <w:r>
              <w:rPr>
                <w:rFonts w:ascii="Cambria" w:hAnsi="Cambria"/>
                <w:b w:val="0"/>
                <w:color w:val="222222"/>
                <w:sz w:val="14"/>
              </w:rPr>
              <w:t>Customer, design, purchasing, production/service and release</w:t>
            </w:r>
          </w:p>
        </w:tc>
        <w:tc>
          <w:tcPr>
            <w:tcW w:type="dxa" w:w="4320"/>
            <w:vAlign w:val="center"/>
          </w:tcPr>
          <w:p>
            <w:pPr>
              <w:spacing w:before="0" w:after="0"/>
              <w:jc w:val="left"/>
            </w:pPr>
            <w:r>
              <w:rPr>
                <w:rFonts w:ascii="Cambria" w:hAnsi="Cambria"/>
                <w:b w:val="0"/>
                <w:color w:val="222222"/>
                <w:sz w:val="14"/>
              </w:rPr>
              <w:t>Process capability and conformance</w:t>
            </w:r>
          </w:p>
        </w:tc>
        <w:tc>
          <w:tcPr>
            <w:tcW w:type="dxa" w:w="4464"/>
            <w:vAlign w:val="center"/>
          </w:tcPr>
          <w:p>
            <w:pPr>
              <w:spacing w:before="0" w:after="0"/>
              <w:jc w:val="left"/>
            </w:pPr>
            <w:r>
              <w:rPr>
                <w:rFonts w:ascii="Cambria" w:hAnsi="Cambria"/>
                <w:b w:val="0"/>
                <w:color w:val="222222"/>
                <w:sz w:val="14"/>
              </w:rPr>
              <w:t>Procedures, records, specifications and release evidence</w:t>
            </w:r>
          </w:p>
        </w:tc>
      </w:tr>
      <w:tr>
        <w:tc>
          <w:tcPr>
            <w:tcW w:type="dxa" w:w="2160"/>
            <w:vAlign w:val="center"/>
          </w:tcPr>
          <w:p>
            <w:pPr>
              <w:spacing w:before="0" w:after="0"/>
              <w:jc w:val="left"/>
            </w:pPr>
            <w:r>
              <w:rPr>
                <w:rFonts w:ascii="Cambria" w:hAnsi="Cambria"/>
                <w:b w:val="0"/>
                <w:color w:val="222222"/>
                <w:sz w:val="14"/>
              </w:rPr>
              <w:t>Performance Evaluation</w:t>
            </w:r>
          </w:p>
        </w:tc>
        <w:tc>
          <w:tcPr>
            <w:tcW w:type="dxa" w:w="4464"/>
            <w:vAlign w:val="center"/>
          </w:tcPr>
          <w:p>
            <w:pPr>
              <w:spacing w:before="0" w:after="0"/>
              <w:jc w:val="left"/>
            </w:pPr>
            <w:r>
              <w:rPr>
                <w:rFonts w:ascii="Cambria" w:hAnsi="Cambria"/>
                <w:b w:val="0"/>
                <w:color w:val="222222"/>
                <w:sz w:val="14"/>
              </w:rPr>
              <w:t>KPI, customer feedback, audit and compliance monitoring</w:t>
            </w:r>
          </w:p>
        </w:tc>
        <w:tc>
          <w:tcPr>
            <w:tcW w:type="dxa" w:w="4320"/>
            <w:vAlign w:val="center"/>
          </w:tcPr>
          <w:p>
            <w:pPr>
              <w:spacing w:before="0" w:after="0"/>
              <w:jc w:val="left"/>
            </w:pPr>
            <w:r>
              <w:rPr>
                <w:rFonts w:ascii="Cambria" w:hAnsi="Cambria"/>
                <w:b w:val="0"/>
                <w:color w:val="222222"/>
                <w:sz w:val="14"/>
              </w:rPr>
              <w:t>Objective performance evaluation</w:t>
            </w:r>
          </w:p>
        </w:tc>
        <w:tc>
          <w:tcPr>
            <w:tcW w:type="dxa" w:w="4464"/>
            <w:vAlign w:val="center"/>
          </w:tcPr>
          <w:p>
            <w:pPr>
              <w:spacing w:before="0" w:after="0"/>
              <w:jc w:val="left"/>
            </w:pPr>
            <w:r>
              <w:rPr>
                <w:rFonts w:ascii="Cambria" w:hAnsi="Cambria"/>
                <w:b w:val="0"/>
                <w:color w:val="222222"/>
                <w:sz w:val="14"/>
              </w:rPr>
              <w:t>Dashboards, audit reports and trend analysis</w:t>
            </w:r>
          </w:p>
        </w:tc>
      </w:tr>
      <w:tr>
        <w:tc>
          <w:tcPr>
            <w:tcW w:type="dxa" w:w="2160"/>
            <w:vAlign w:val="center"/>
          </w:tcPr>
          <w:p>
            <w:pPr>
              <w:spacing w:before="0" w:after="0"/>
              <w:jc w:val="left"/>
            </w:pPr>
            <w:r>
              <w:rPr>
                <w:rFonts w:ascii="Cambria" w:hAnsi="Cambria"/>
                <w:b w:val="0"/>
                <w:color w:val="222222"/>
                <w:sz w:val="14"/>
              </w:rPr>
              <w:t>Improvement</w:t>
            </w:r>
          </w:p>
        </w:tc>
        <w:tc>
          <w:tcPr>
            <w:tcW w:type="dxa" w:w="4464"/>
            <w:vAlign w:val="center"/>
          </w:tcPr>
          <w:p>
            <w:pPr>
              <w:spacing w:before="0" w:after="0"/>
              <w:jc w:val="left"/>
            </w:pPr>
            <w:r>
              <w:rPr>
                <w:rFonts w:ascii="Cambria" w:hAnsi="Cambria"/>
                <w:b w:val="0"/>
                <w:color w:val="222222"/>
                <w:sz w:val="14"/>
              </w:rPr>
              <w:t>Nonconformity, CAPA, lessons learned and innovation</w:t>
            </w:r>
          </w:p>
        </w:tc>
        <w:tc>
          <w:tcPr>
            <w:tcW w:type="dxa" w:w="4320"/>
            <w:vAlign w:val="center"/>
          </w:tcPr>
          <w:p>
            <w:pPr>
              <w:spacing w:before="0" w:after="0"/>
              <w:jc w:val="left"/>
            </w:pPr>
            <w:r>
              <w:rPr>
                <w:rFonts w:ascii="Cambria" w:hAnsi="Cambria"/>
                <w:b w:val="0"/>
                <w:color w:val="222222"/>
                <w:sz w:val="14"/>
              </w:rPr>
              <w:t>Sustained corrective action and benefits realization</w:t>
            </w:r>
          </w:p>
        </w:tc>
        <w:tc>
          <w:tcPr>
            <w:tcW w:type="dxa" w:w="4464"/>
            <w:vAlign w:val="center"/>
          </w:tcPr>
          <w:p>
            <w:pPr>
              <w:spacing w:before="0" w:after="0"/>
              <w:jc w:val="left"/>
            </w:pPr>
            <w:r>
              <w:rPr>
                <w:rFonts w:ascii="Cambria" w:hAnsi="Cambria"/>
                <w:b w:val="0"/>
                <w:color w:val="222222"/>
                <w:sz w:val="14"/>
              </w:rPr>
              <w:t>CAPA records, effectiveness reviews and improvement plans</w:t>
            </w:r>
          </w:p>
        </w:tc>
      </w:tr>
    </w:tbl>
    <w:p>
      <w:r>
        <w:br w:type="page"/>
      </w:r>
    </w:p>
    <w:p>
      <w:pPr>
        <w:spacing w:before="80" w:after="80"/>
      </w:pPr>
      <w:r>
        <w:rPr>
          <w:rFonts w:ascii="Cambria" w:hAnsi="Cambria"/>
          <w:b/>
          <w:color w:val="2E9D50"/>
          <w:sz w:val="24"/>
        </w:rPr>
        <w:t>4. CORE QMS FUNCTIONS &amp; CONTROLLED FILES</w:t>
      </w:r>
    </w:p>
    <w:tbl>
      <w:tblPr>
        <w:tblStyle w:val="MediumGrid1-Accent3"/>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c>
          <w:tcPr>
            <w:tcW w:type="dxa" w:w="1944"/>
            <w:vAlign w:val="center"/>
          </w:tcPr>
          <w:p>
            <w:pPr>
              <w:spacing w:before="0" w:after="0"/>
              <w:jc w:val="center"/>
            </w:pPr>
            <w:r>
              <w:rPr>
                <w:rFonts w:ascii="Cambria" w:hAnsi="Cambria"/>
                <w:b/>
                <w:color w:val="222222"/>
                <w:sz w:val="13"/>
              </w:rPr>
              <w:t>Function</w:t>
            </w:r>
          </w:p>
        </w:tc>
        <w:tc>
          <w:tcPr>
            <w:tcW w:type="dxa" w:w="3168"/>
            <w:vAlign w:val="center"/>
          </w:tcPr>
          <w:p>
            <w:pPr>
              <w:spacing w:before="0" w:after="0"/>
              <w:jc w:val="center"/>
            </w:pPr>
            <w:r>
              <w:rPr>
                <w:rFonts w:ascii="Cambria" w:hAnsi="Cambria"/>
                <w:b/>
                <w:color w:val="222222"/>
                <w:sz w:val="13"/>
              </w:rPr>
              <w:t>Core Controlled File</w:t>
            </w:r>
          </w:p>
        </w:tc>
        <w:tc>
          <w:tcPr>
            <w:tcW w:type="dxa" w:w="2016"/>
            <w:vAlign w:val="center"/>
          </w:tcPr>
          <w:p>
            <w:pPr>
              <w:spacing w:before="0" w:after="0"/>
              <w:jc w:val="center"/>
            </w:pPr>
            <w:r>
              <w:rPr>
                <w:rFonts w:ascii="Cambria" w:hAnsi="Cambria"/>
                <w:b/>
                <w:color w:val="222222"/>
                <w:sz w:val="13"/>
              </w:rPr>
              <w:t>Owner</w:t>
            </w:r>
          </w:p>
        </w:tc>
        <w:tc>
          <w:tcPr>
            <w:tcW w:type="dxa" w:w="936"/>
            <w:vAlign w:val="center"/>
          </w:tcPr>
          <w:p>
            <w:pPr>
              <w:spacing w:before="0" w:after="0"/>
              <w:jc w:val="center"/>
            </w:pPr>
            <w:r>
              <w:rPr>
                <w:rFonts w:ascii="Cambria" w:hAnsi="Cambria"/>
                <w:b/>
                <w:color w:val="222222"/>
                <w:sz w:val="13"/>
              </w:rPr>
              <w:t>Revision</w:t>
            </w:r>
          </w:p>
        </w:tc>
        <w:tc>
          <w:tcPr>
            <w:tcW w:type="dxa" w:w="1224"/>
            <w:vAlign w:val="center"/>
          </w:tcPr>
          <w:p>
            <w:pPr>
              <w:spacing w:before="0" w:after="0"/>
              <w:jc w:val="center"/>
            </w:pPr>
            <w:r>
              <w:rPr>
                <w:rFonts w:ascii="Cambria" w:hAnsi="Cambria"/>
                <w:b/>
                <w:color w:val="222222"/>
                <w:sz w:val="13"/>
              </w:rPr>
              <w:t>Status</w:t>
            </w:r>
          </w:p>
        </w:tc>
        <w:tc>
          <w:tcPr>
            <w:tcW w:type="dxa" w:w="1440"/>
            <w:vAlign w:val="center"/>
          </w:tcPr>
          <w:p>
            <w:pPr>
              <w:spacing w:before="0" w:after="0"/>
              <w:jc w:val="center"/>
            </w:pPr>
            <w:r>
              <w:rPr>
                <w:rFonts w:ascii="Cambria" w:hAnsi="Cambria"/>
                <w:b/>
                <w:color w:val="222222"/>
                <w:sz w:val="13"/>
              </w:rPr>
              <w:t>Next Review</w:t>
            </w:r>
          </w:p>
        </w:tc>
        <w:tc>
          <w:tcPr>
            <w:tcW w:type="dxa" w:w="1008"/>
            <w:vAlign w:val="center"/>
          </w:tcPr>
          <w:p>
            <w:pPr>
              <w:spacing w:before="0" w:after="0"/>
              <w:jc w:val="center"/>
            </w:pPr>
            <w:r>
              <w:rPr>
                <w:rFonts w:ascii="Cambria" w:hAnsi="Cambria"/>
                <w:b/>
                <w:color w:val="222222"/>
                <w:sz w:val="13"/>
              </w:rPr>
              <w:t>Priority</w:t>
            </w:r>
          </w:p>
        </w:tc>
        <w:tc>
          <w:tcPr>
            <w:tcW w:type="dxa" w:w="3168"/>
            <w:vAlign w:val="center"/>
          </w:tcPr>
          <w:p>
            <w:pPr>
              <w:spacing w:before="0" w:after="0"/>
              <w:jc w:val="center"/>
            </w:pPr>
            <w:r>
              <w:rPr>
                <w:rFonts w:ascii="Cambria" w:hAnsi="Cambria"/>
                <w:b/>
                <w:color w:val="222222"/>
                <w:sz w:val="13"/>
              </w:rPr>
              <w:t>Executive Attention</w:t>
            </w:r>
          </w:p>
        </w:tc>
      </w:tr>
      <w:tr>
        <w:tc>
          <w:tcPr>
            <w:tcW w:type="dxa" w:w="1944"/>
            <w:vAlign w:val="center"/>
          </w:tcPr>
          <w:p>
            <w:pPr>
              <w:spacing w:before="0" w:after="0"/>
              <w:jc w:val="left"/>
            </w:pPr>
            <w:r>
              <w:rPr>
                <w:rFonts w:ascii="Cambria" w:hAnsi="Cambria"/>
                <w:b w:val="0"/>
                <w:color w:val="222222"/>
                <w:sz w:val="13"/>
              </w:rPr>
              <w:t>Quality Governance</w:t>
            </w:r>
          </w:p>
        </w:tc>
        <w:tc>
          <w:tcPr>
            <w:tcW w:type="dxa" w:w="3168"/>
            <w:vAlign w:val="center"/>
          </w:tcPr>
          <w:p>
            <w:pPr>
              <w:spacing w:before="0" w:after="0"/>
              <w:jc w:val="left"/>
            </w:pPr>
            <w:r>
              <w:rPr>
                <w:rFonts w:ascii="Cambria" w:hAnsi="Cambria"/>
                <w:b w:val="0"/>
                <w:color w:val="222222"/>
                <w:sz w:val="13"/>
              </w:rPr>
              <w:t>QMS Manual and Process Map</w:t>
            </w:r>
          </w:p>
        </w:tc>
        <w:tc>
          <w:tcPr>
            <w:tcW w:type="dxa" w:w="2016"/>
            <w:vAlign w:val="center"/>
          </w:tcPr>
          <w:p>
            <w:pPr>
              <w:spacing w:before="0" w:after="0"/>
              <w:jc w:val="left"/>
            </w:pPr>
            <w:r>
              <w:rPr>
                <w:rFonts w:ascii="Cambria" w:hAnsi="Cambria"/>
                <w:b w:val="0"/>
                <w:color w:val="222222"/>
                <w:sz w:val="13"/>
              </w:rPr>
              <w:t>Quality Director</w:t>
            </w:r>
          </w:p>
        </w:tc>
        <w:tc>
          <w:tcPr>
            <w:tcW w:type="dxa" w:w="936"/>
            <w:vAlign w:val="center"/>
          </w:tcPr>
          <w:p>
            <w:pPr>
              <w:spacing w:before="0" w:after="0"/>
              <w:jc w:val="left"/>
            </w:pPr>
            <w:r>
              <w:rPr>
                <w:rFonts w:ascii="Cambria" w:hAnsi="Cambria"/>
                <w:b w:val="0"/>
                <w:color w:val="222222"/>
                <w:sz w:val="13"/>
              </w:rPr>
              <w:t>R12</w:t>
            </w:r>
          </w:p>
        </w:tc>
        <w:tc>
          <w:tcPr>
            <w:tcW w:type="dxa" w:w="1224"/>
            <w:vAlign w:val="center"/>
          </w:tcPr>
          <w:p>
            <w:pPr>
              <w:spacing w:before="0" w:after="0"/>
              <w:jc w:val="left"/>
            </w:pPr>
            <w:r>
              <w:rPr>
                <w:rFonts w:ascii="Cambria" w:hAnsi="Cambria"/>
                <w:b w:val="0"/>
                <w:color w:val="222222"/>
                <w:sz w:val="13"/>
              </w:rPr>
              <w:t>Approved</w:t>
            </w:r>
          </w:p>
        </w:tc>
        <w:tc>
          <w:tcPr>
            <w:tcW w:type="dxa" w:w="1440"/>
            <w:vAlign w:val="center"/>
          </w:tcPr>
          <w:p>
            <w:pPr>
              <w:spacing w:before="0" w:after="0"/>
              <w:jc w:val="left"/>
            </w:pPr>
            <w:r>
              <w:rPr>
                <w:rFonts w:ascii="Cambria" w:hAnsi="Cambria"/>
                <w:b w:val="0"/>
                <w:color w:val="222222"/>
                <w:sz w:val="13"/>
              </w:rPr>
              <w:t>Sep 15,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Align with new operating model</w:t>
            </w:r>
          </w:p>
        </w:tc>
      </w:tr>
      <w:tr>
        <w:tc>
          <w:tcPr>
            <w:tcW w:type="dxa" w:w="1944"/>
            <w:vAlign w:val="center"/>
          </w:tcPr>
          <w:p>
            <w:pPr>
              <w:spacing w:before="0" w:after="0"/>
              <w:jc w:val="left"/>
            </w:pPr>
            <w:r>
              <w:rPr>
                <w:rFonts w:ascii="Cambria" w:hAnsi="Cambria"/>
                <w:b w:val="0"/>
                <w:color w:val="222222"/>
                <w:sz w:val="13"/>
              </w:rPr>
              <w:t>Document Control</w:t>
            </w:r>
          </w:p>
        </w:tc>
        <w:tc>
          <w:tcPr>
            <w:tcW w:type="dxa" w:w="3168"/>
            <w:vAlign w:val="center"/>
          </w:tcPr>
          <w:p>
            <w:pPr>
              <w:spacing w:before="0" w:after="0"/>
              <w:jc w:val="left"/>
            </w:pPr>
            <w:r>
              <w:rPr>
                <w:rFonts w:ascii="Cambria" w:hAnsi="Cambria"/>
                <w:b w:val="0"/>
                <w:color w:val="222222"/>
                <w:sz w:val="13"/>
              </w:rPr>
              <w:t>SOP Master List</w:t>
            </w:r>
          </w:p>
        </w:tc>
        <w:tc>
          <w:tcPr>
            <w:tcW w:type="dxa" w:w="2016"/>
            <w:vAlign w:val="center"/>
          </w:tcPr>
          <w:p>
            <w:pPr>
              <w:spacing w:before="0" w:after="0"/>
              <w:jc w:val="left"/>
            </w:pPr>
            <w:r>
              <w:rPr>
                <w:rFonts w:ascii="Cambria" w:hAnsi="Cambria"/>
                <w:b w:val="0"/>
                <w:color w:val="222222"/>
                <w:sz w:val="13"/>
              </w:rPr>
              <w:t>Document Control Lead</w:t>
            </w:r>
          </w:p>
        </w:tc>
        <w:tc>
          <w:tcPr>
            <w:tcW w:type="dxa" w:w="936"/>
            <w:vAlign w:val="center"/>
          </w:tcPr>
          <w:p>
            <w:pPr>
              <w:spacing w:before="0" w:after="0"/>
              <w:jc w:val="left"/>
            </w:pPr>
            <w:r>
              <w:rPr>
                <w:rFonts w:ascii="Cambria" w:hAnsi="Cambria"/>
                <w:b w:val="0"/>
                <w:color w:val="222222"/>
                <w:sz w:val="13"/>
              </w:rPr>
              <w:t>R18</w:t>
            </w:r>
          </w:p>
        </w:tc>
        <w:tc>
          <w:tcPr>
            <w:tcW w:type="dxa" w:w="1224"/>
            <w:vAlign w:val="center"/>
          </w:tcPr>
          <w:p>
            <w:pPr>
              <w:spacing w:before="0" w:after="0"/>
              <w:jc w:val="left"/>
            </w:pPr>
            <w:r>
              <w:rPr>
                <w:rFonts w:ascii="Cambria" w:hAnsi="Cambria"/>
                <w:b w:val="0"/>
                <w:color w:val="222222"/>
                <w:sz w:val="13"/>
              </w:rPr>
              <w:t>Current</w:t>
            </w:r>
          </w:p>
        </w:tc>
        <w:tc>
          <w:tcPr>
            <w:tcW w:type="dxa" w:w="1440"/>
            <w:vAlign w:val="center"/>
          </w:tcPr>
          <w:p>
            <w:pPr>
              <w:spacing w:before="0" w:after="0"/>
              <w:jc w:val="left"/>
            </w:pPr>
            <w:r>
              <w:rPr>
                <w:rFonts w:ascii="Cambria" w:hAnsi="Cambria"/>
                <w:b w:val="0"/>
                <w:color w:val="222222"/>
                <w:sz w:val="13"/>
              </w:rPr>
              <w:t>Jun 30,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Close 8 overdue reviews</w:t>
            </w:r>
          </w:p>
        </w:tc>
      </w:tr>
      <w:tr>
        <w:tc>
          <w:tcPr>
            <w:tcW w:type="dxa" w:w="1944"/>
            <w:vAlign w:val="center"/>
          </w:tcPr>
          <w:p>
            <w:pPr>
              <w:spacing w:before="0" w:after="0"/>
              <w:jc w:val="left"/>
            </w:pPr>
            <w:r>
              <w:rPr>
                <w:rFonts w:ascii="Cambria" w:hAnsi="Cambria"/>
                <w:b w:val="0"/>
                <w:color w:val="222222"/>
                <w:sz w:val="13"/>
              </w:rPr>
              <w:t>Internal Audit</w:t>
            </w:r>
          </w:p>
        </w:tc>
        <w:tc>
          <w:tcPr>
            <w:tcW w:type="dxa" w:w="3168"/>
            <w:vAlign w:val="center"/>
          </w:tcPr>
          <w:p>
            <w:pPr>
              <w:spacing w:before="0" w:after="0"/>
              <w:jc w:val="left"/>
            </w:pPr>
            <w:r>
              <w:rPr>
                <w:rFonts w:ascii="Cambria" w:hAnsi="Cambria"/>
                <w:b w:val="0"/>
                <w:color w:val="222222"/>
                <w:sz w:val="13"/>
              </w:rPr>
              <w:t>Risk-Based Audit Program</w:t>
            </w:r>
          </w:p>
        </w:tc>
        <w:tc>
          <w:tcPr>
            <w:tcW w:type="dxa" w:w="2016"/>
            <w:vAlign w:val="center"/>
          </w:tcPr>
          <w:p>
            <w:pPr>
              <w:spacing w:before="0" w:after="0"/>
              <w:jc w:val="left"/>
            </w:pPr>
            <w:r>
              <w:rPr>
                <w:rFonts w:ascii="Cambria" w:hAnsi="Cambria"/>
                <w:b w:val="0"/>
                <w:color w:val="222222"/>
                <w:sz w:val="13"/>
              </w:rPr>
              <w:t>Lead Auditor</w:t>
            </w:r>
          </w:p>
        </w:tc>
        <w:tc>
          <w:tcPr>
            <w:tcW w:type="dxa" w:w="936"/>
            <w:vAlign w:val="center"/>
          </w:tcPr>
          <w:p>
            <w:pPr>
              <w:spacing w:before="0" w:after="0"/>
              <w:jc w:val="left"/>
            </w:pPr>
            <w:r>
              <w:rPr>
                <w:rFonts w:ascii="Cambria" w:hAnsi="Cambria"/>
                <w:b w:val="0"/>
                <w:color w:val="222222"/>
                <w:sz w:val="13"/>
              </w:rPr>
              <w:t>R07</w:t>
            </w:r>
          </w:p>
        </w:tc>
        <w:tc>
          <w:tcPr>
            <w:tcW w:type="dxa" w:w="1224"/>
            <w:vAlign w:val="center"/>
          </w:tcPr>
          <w:p>
            <w:pPr>
              <w:spacing w:before="0" w:after="0"/>
              <w:jc w:val="left"/>
            </w:pPr>
            <w:r>
              <w:rPr>
                <w:rFonts w:ascii="Cambria" w:hAnsi="Cambria"/>
                <w:b w:val="0"/>
                <w:color w:val="222222"/>
                <w:sz w:val="13"/>
              </w:rPr>
              <w:t>Current</w:t>
            </w:r>
          </w:p>
        </w:tc>
        <w:tc>
          <w:tcPr>
            <w:tcW w:type="dxa" w:w="1440"/>
            <w:vAlign w:val="center"/>
          </w:tcPr>
          <w:p>
            <w:pPr>
              <w:spacing w:before="0" w:after="0"/>
              <w:jc w:val="left"/>
            </w:pPr>
            <w:r>
              <w:rPr>
                <w:rFonts w:ascii="Cambria" w:hAnsi="Cambria"/>
                <w:b w:val="0"/>
                <w:color w:val="222222"/>
                <w:sz w:val="13"/>
              </w:rPr>
              <w:t>Jul 01, 2025</w:t>
            </w:r>
          </w:p>
        </w:tc>
        <w:tc>
          <w:tcPr>
            <w:tcW w:type="dxa" w:w="1008"/>
            <w:vAlign w:val="center"/>
          </w:tcPr>
          <w:p>
            <w:pPr>
              <w:spacing w:before="0" w:after="0"/>
              <w:jc w:val="left"/>
            </w:pPr>
            <w:r>
              <w:rPr>
                <w:rFonts w:ascii="Cambria" w:hAnsi="Cambria"/>
                <w:b w:val="0"/>
                <w:color w:val="222222"/>
                <w:sz w:val="13"/>
              </w:rPr>
              <w:t>Medium</w:t>
            </w:r>
          </w:p>
        </w:tc>
        <w:tc>
          <w:tcPr>
            <w:tcW w:type="dxa" w:w="3168"/>
            <w:vAlign w:val="center"/>
          </w:tcPr>
          <w:p>
            <w:pPr>
              <w:spacing w:before="0" w:after="0"/>
              <w:jc w:val="left"/>
            </w:pPr>
            <w:r>
              <w:rPr>
                <w:rFonts w:ascii="Cambria" w:hAnsi="Cambria"/>
                <w:b w:val="0"/>
                <w:color w:val="222222"/>
                <w:sz w:val="13"/>
              </w:rPr>
              <w:t>Two audit dates rescheduled</w:t>
            </w:r>
          </w:p>
        </w:tc>
      </w:tr>
      <w:tr>
        <w:tc>
          <w:tcPr>
            <w:tcW w:type="dxa" w:w="1944"/>
            <w:vAlign w:val="center"/>
          </w:tcPr>
          <w:p>
            <w:pPr>
              <w:spacing w:before="0" w:after="0"/>
              <w:jc w:val="left"/>
            </w:pPr>
            <w:r>
              <w:rPr>
                <w:rFonts w:ascii="Cambria" w:hAnsi="Cambria"/>
                <w:b w:val="0"/>
                <w:color w:val="222222"/>
                <w:sz w:val="13"/>
              </w:rPr>
              <w:t>CAPA</w:t>
            </w:r>
          </w:p>
        </w:tc>
        <w:tc>
          <w:tcPr>
            <w:tcW w:type="dxa" w:w="3168"/>
            <w:vAlign w:val="center"/>
          </w:tcPr>
          <w:p>
            <w:pPr>
              <w:spacing w:before="0" w:after="0"/>
              <w:jc w:val="left"/>
            </w:pPr>
            <w:r>
              <w:rPr>
                <w:rFonts w:ascii="Cambria" w:hAnsi="Cambria"/>
                <w:b w:val="0"/>
                <w:color w:val="222222"/>
                <w:sz w:val="13"/>
              </w:rPr>
              <w:t>CAPA Register</w:t>
            </w:r>
          </w:p>
        </w:tc>
        <w:tc>
          <w:tcPr>
            <w:tcW w:type="dxa" w:w="2016"/>
            <w:vAlign w:val="center"/>
          </w:tcPr>
          <w:p>
            <w:pPr>
              <w:spacing w:before="0" w:after="0"/>
              <w:jc w:val="left"/>
            </w:pPr>
            <w:r>
              <w:rPr>
                <w:rFonts w:ascii="Cambria" w:hAnsi="Cambria"/>
                <w:b w:val="0"/>
                <w:color w:val="222222"/>
                <w:sz w:val="13"/>
              </w:rPr>
              <w:t>CAPA Manager</w:t>
            </w:r>
          </w:p>
        </w:tc>
        <w:tc>
          <w:tcPr>
            <w:tcW w:type="dxa" w:w="936"/>
            <w:vAlign w:val="center"/>
          </w:tcPr>
          <w:p>
            <w:pPr>
              <w:spacing w:before="0" w:after="0"/>
              <w:jc w:val="left"/>
            </w:pPr>
            <w:r>
              <w:rPr>
                <w:rFonts w:ascii="Cambria" w:hAnsi="Cambria"/>
                <w:b w:val="0"/>
                <w:color w:val="222222"/>
                <w:sz w:val="13"/>
              </w:rPr>
              <w:t>R10</w:t>
            </w:r>
          </w:p>
        </w:tc>
        <w:tc>
          <w:tcPr>
            <w:tcW w:type="dxa" w:w="1224"/>
            <w:vAlign w:val="center"/>
          </w:tcPr>
          <w:p>
            <w:pPr>
              <w:spacing w:before="0" w:after="0"/>
              <w:jc w:val="left"/>
            </w:pPr>
            <w:r>
              <w:rPr>
                <w:rFonts w:ascii="Cambria" w:hAnsi="Cambria"/>
                <w:b w:val="0"/>
                <w:color w:val="222222"/>
                <w:sz w:val="13"/>
              </w:rPr>
              <w:t>Under Review</w:t>
            </w:r>
          </w:p>
        </w:tc>
        <w:tc>
          <w:tcPr>
            <w:tcW w:type="dxa" w:w="1440"/>
            <w:vAlign w:val="center"/>
          </w:tcPr>
          <w:p>
            <w:pPr>
              <w:spacing w:before="0" w:after="0"/>
              <w:jc w:val="left"/>
            </w:pPr>
            <w:r>
              <w:rPr>
                <w:rFonts w:ascii="Cambria" w:hAnsi="Cambria"/>
                <w:b w:val="0"/>
                <w:color w:val="222222"/>
                <w:sz w:val="13"/>
              </w:rPr>
              <w:t>Jun 20,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Effectiveness backlog</w:t>
            </w:r>
          </w:p>
        </w:tc>
      </w:tr>
      <w:tr>
        <w:tc>
          <w:tcPr>
            <w:tcW w:type="dxa" w:w="1944"/>
            <w:vAlign w:val="center"/>
          </w:tcPr>
          <w:p>
            <w:pPr>
              <w:spacing w:before="0" w:after="0"/>
              <w:jc w:val="left"/>
            </w:pPr>
            <w:r>
              <w:rPr>
                <w:rFonts w:ascii="Cambria" w:hAnsi="Cambria"/>
                <w:b w:val="0"/>
                <w:color w:val="222222"/>
                <w:sz w:val="13"/>
              </w:rPr>
              <w:t>Risk Management</w:t>
            </w:r>
          </w:p>
        </w:tc>
        <w:tc>
          <w:tcPr>
            <w:tcW w:type="dxa" w:w="3168"/>
            <w:vAlign w:val="center"/>
          </w:tcPr>
          <w:p>
            <w:pPr>
              <w:spacing w:before="0" w:after="0"/>
              <w:jc w:val="left"/>
            </w:pPr>
            <w:r>
              <w:rPr>
                <w:rFonts w:ascii="Cambria" w:hAnsi="Cambria"/>
                <w:b w:val="0"/>
                <w:color w:val="222222"/>
                <w:sz w:val="13"/>
              </w:rPr>
              <w:t>Enterprise Quality Risk Register</w:t>
            </w:r>
          </w:p>
        </w:tc>
        <w:tc>
          <w:tcPr>
            <w:tcW w:type="dxa" w:w="2016"/>
            <w:vAlign w:val="center"/>
          </w:tcPr>
          <w:p>
            <w:pPr>
              <w:spacing w:before="0" w:after="0"/>
              <w:jc w:val="left"/>
            </w:pPr>
            <w:r>
              <w:rPr>
                <w:rFonts w:ascii="Cambria" w:hAnsi="Cambria"/>
                <w:b w:val="0"/>
                <w:color w:val="222222"/>
                <w:sz w:val="13"/>
              </w:rPr>
              <w:t>Risk Manager</w:t>
            </w:r>
          </w:p>
        </w:tc>
        <w:tc>
          <w:tcPr>
            <w:tcW w:type="dxa" w:w="936"/>
            <w:vAlign w:val="center"/>
          </w:tcPr>
          <w:p>
            <w:pPr>
              <w:spacing w:before="0" w:after="0"/>
              <w:jc w:val="left"/>
            </w:pPr>
            <w:r>
              <w:rPr>
                <w:rFonts w:ascii="Cambria" w:hAnsi="Cambria"/>
                <w:b w:val="0"/>
                <w:color w:val="222222"/>
                <w:sz w:val="13"/>
              </w:rPr>
              <w:t>R06</w:t>
            </w:r>
          </w:p>
        </w:tc>
        <w:tc>
          <w:tcPr>
            <w:tcW w:type="dxa" w:w="1224"/>
            <w:vAlign w:val="center"/>
          </w:tcPr>
          <w:p>
            <w:pPr>
              <w:spacing w:before="0" w:after="0"/>
              <w:jc w:val="left"/>
            </w:pPr>
            <w:r>
              <w:rPr>
                <w:rFonts w:ascii="Cambria" w:hAnsi="Cambria"/>
                <w:b w:val="0"/>
                <w:color w:val="222222"/>
                <w:sz w:val="13"/>
              </w:rPr>
              <w:t>Current</w:t>
            </w:r>
          </w:p>
        </w:tc>
        <w:tc>
          <w:tcPr>
            <w:tcW w:type="dxa" w:w="1440"/>
            <w:vAlign w:val="center"/>
          </w:tcPr>
          <w:p>
            <w:pPr>
              <w:spacing w:before="0" w:after="0"/>
              <w:jc w:val="left"/>
            </w:pPr>
            <w:r>
              <w:rPr>
                <w:rFonts w:ascii="Cambria" w:hAnsi="Cambria"/>
                <w:b w:val="0"/>
                <w:color w:val="222222"/>
                <w:sz w:val="13"/>
              </w:rPr>
              <w:t>Jul 15,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Supplier continuity and labeling risks</w:t>
            </w:r>
          </w:p>
        </w:tc>
      </w:tr>
      <w:tr>
        <w:tc>
          <w:tcPr>
            <w:tcW w:type="dxa" w:w="1944"/>
            <w:vAlign w:val="center"/>
          </w:tcPr>
          <w:p>
            <w:pPr>
              <w:spacing w:before="0" w:after="0"/>
              <w:jc w:val="left"/>
            </w:pPr>
            <w:r>
              <w:rPr>
                <w:rFonts w:ascii="Cambria" w:hAnsi="Cambria"/>
                <w:b w:val="0"/>
                <w:color w:val="222222"/>
                <w:sz w:val="13"/>
              </w:rPr>
              <w:t>Training &amp; Competence</w:t>
            </w:r>
          </w:p>
        </w:tc>
        <w:tc>
          <w:tcPr>
            <w:tcW w:type="dxa" w:w="3168"/>
            <w:vAlign w:val="center"/>
          </w:tcPr>
          <w:p>
            <w:pPr>
              <w:spacing w:before="0" w:after="0"/>
              <w:jc w:val="left"/>
            </w:pPr>
            <w:r>
              <w:rPr>
                <w:rFonts w:ascii="Cambria" w:hAnsi="Cambria"/>
                <w:b w:val="0"/>
                <w:color w:val="222222"/>
                <w:sz w:val="13"/>
              </w:rPr>
              <w:t>Training and Competency Matrix</w:t>
            </w:r>
          </w:p>
        </w:tc>
        <w:tc>
          <w:tcPr>
            <w:tcW w:type="dxa" w:w="2016"/>
            <w:vAlign w:val="center"/>
          </w:tcPr>
          <w:p>
            <w:pPr>
              <w:spacing w:before="0" w:after="0"/>
              <w:jc w:val="left"/>
            </w:pPr>
            <w:r>
              <w:rPr>
                <w:rFonts w:ascii="Cambria" w:hAnsi="Cambria"/>
                <w:b w:val="0"/>
                <w:color w:val="222222"/>
                <w:sz w:val="13"/>
              </w:rPr>
              <w:t>L&amp;D Manager</w:t>
            </w:r>
          </w:p>
        </w:tc>
        <w:tc>
          <w:tcPr>
            <w:tcW w:type="dxa" w:w="936"/>
            <w:vAlign w:val="center"/>
          </w:tcPr>
          <w:p>
            <w:pPr>
              <w:spacing w:before="0" w:after="0"/>
              <w:jc w:val="left"/>
            </w:pPr>
            <w:r>
              <w:rPr>
                <w:rFonts w:ascii="Cambria" w:hAnsi="Cambria"/>
                <w:b w:val="0"/>
                <w:color w:val="222222"/>
                <w:sz w:val="13"/>
              </w:rPr>
              <w:t>R09</w:t>
            </w:r>
          </w:p>
        </w:tc>
        <w:tc>
          <w:tcPr>
            <w:tcW w:type="dxa" w:w="1224"/>
            <w:vAlign w:val="center"/>
          </w:tcPr>
          <w:p>
            <w:pPr>
              <w:spacing w:before="0" w:after="0"/>
              <w:jc w:val="left"/>
            </w:pPr>
            <w:r>
              <w:rPr>
                <w:rFonts w:ascii="Cambria" w:hAnsi="Cambria"/>
                <w:b w:val="0"/>
                <w:color w:val="222222"/>
                <w:sz w:val="13"/>
              </w:rPr>
              <w:t>Approved</w:t>
            </w:r>
          </w:p>
        </w:tc>
        <w:tc>
          <w:tcPr>
            <w:tcW w:type="dxa" w:w="1440"/>
            <w:vAlign w:val="center"/>
          </w:tcPr>
          <w:p>
            <w:pPr>
              <w:spacing w:before="0" w:after="0"/>
              <w:jc w:val="left"/>
            </w:pPr>
            <w:r>
              <w:rPr>
                <w:rFonts w:ascii="Cambria" w:hAnsi="Cambria"/>
                <w:b w:val="0"/>
                <w:color w:val="222222"/>
                <w:sz w:val="13"/>
              </w:rPr>
              <w:t>Jun 25, 2025</w:t>
            </w:r>
          </w:p>
        </w:tc>
        <w:tc>
          <w:tcPr>
            <w:tcW w:type="dxa" w:w="1008"/>
            <w:vAlign w:val="center"/>
          </w:tcPr>
          <w:p>
            <w:pPr>
              <w:spacing w:before="0" w:after="0"/>
              <w:jc w:val="left"/>
            </w:pPr>
            <w:r>
              <w:rPr>
                <w:rFonts w:ascii="Cambria" w:hAnsi="Cambria"/>
                <w:b w:val="0"/>
                <w:color w:val="222222"/>
                <w:sz w:val="13"/>
              </w:rPr>
              <w:t>Medium</w:t>
            </w:r>
          </w:p>
        </w:tc>
        <w:tc>
          <w:tcPr>
            <w:tcW w:type="dxa" w:w="3168"/>
            <w:vAlign w:val="center"/>
          </w:tcPr>
          <w:p>
            <w:pPr>
              <w:spacing w:before="0" w:after="0"/>
              <w:jc w:val="left"/>
            </w:pPr>
            <w:r>
              <w:rPr>
                <w:rFonts w:ascii="Cambria" w:hAnsi="Cambria"/>
                <w:b w:val="0"/>
                <w:color w:val="222222"/>
                <w:sz w:val="13"/>
              </w:rPr>
              <w:t>Supply Chain completion gap</w:t>
            </w:r>
          </w:p>
        </w:tc>
      </w:tr>
      <w:tr>
        <w:tc>
          <w:tcPr>
            <w:tcW w:type="dxa" w:w="1944"/>
            <w:vAlign w:val="center"/>
          </w:tcPr>
          <w:p>
            <w:pPr>
              <w:spacing w:before="0" w:after="0"/>
              <w:jc w:val="left"/>
            </w:pPr>
            <w:r>
              <w:rPr>
                <w:rFonts w:ascii="Cambria" w:hAnsi="Cambria"/>
                <w:b w:val="0"/>
                <w:color w:val="222222"/>
                <w:sz w:val="13"/>
              </w:rPr>
              <w:t>Supplier Quality</w:t>
            </w:r>
          </w:p>
        </w:tc>
        <w:tc>
          <w:tcPr>
            <w:tcW w:type="dxa" w:w="3168"/>
            <w:vAlign w:val="center"/>
          </w:tcPr>
          <w:p>
            <w:pPr>
              <w:spacing w:before="0" w:after="0"/>
              <w:jc w:val="left"/>
            </w:pPr>
            <w:r>
              <w:rPr>
                <w:rFonts w:ascii="Cambria" w:hAnsi="Cambria"/>
                <w:b w:val="0"/>
                <w:color w:val="222222"/>
                <w:sz w:val="13"/>
              </w:rPr>
              <w:t>Approved Supplier List and Scorecard</w:t>
            </w:r>
          </w:p>
        </w:tc>
        <w:tc>
          <w:tcPr>
            <w:tcW w:type="dxa" w:w="2016"/>
            <w:vAlign w:val="center"/>
          </w:tcPr>
          <w:p>
            <w:pPr>
              <w:spacing w:before="0" w:after="0"/>
              <w:jc w:val="left"/>
            </w:pPr>
            <w:r>
              <w:rPr>
                <w:rFonts w:ascii="Cambria" w:hAnsi="Cambria"/>
                <w:b w:val="0"/>
                <w:color w:val="222222"/>
                <w:sz w:val="13"/>
              </w:rPr>
              <w:t>Supplier Quality Lead</w:t>
            </w:r>
          </w:p>
        </w:tc>
        <w:tc>
          <w:tcPr>
            <w:tcW w:type="dxa" w:w="936"/>
            <w:vAlign w:val="center"/>
          </w:tcPr>
          <w:p>
            <w:pPr>
              <w:spacing w:before="0" w:after="0"/>
              <w:jc w:val="left"/>
            </w:pPr>
            <w:r>
              <w:rPr>
                <w:rFonts w:ascii="Cambria" w:hAnsi="Cambria"/>
                <w:b w:val="0"/>
                <w:color w:val="222222"/>
                <w:sz w:val="13"/>
              </w:rPr>
              <w:t>R14</w:t>
            </w:r>
          </w:p>
        </w:tc>
        <w:tc>
          <w:tcPr>
            <w:tcW w:type="dxa" w:w="1224"/>
            <w:vAlign w:val="center"/>
          </w:tcPr>
          <w:p>
            <w:pPr>
              <w:spacing w:before="0" w:after="0"/>
              <w:jc w:val="left"/>
            </w:pPr>
            <w:r>
              <w:rPr>
                <w:rFonts w:ascii="Cambria" w:hAnsi="Cambria"/>
                <w:b w:val="0"/>
                <w:color w:val="222222"/>
                <w:sz w:val="13"/>
              </w:rPr>
              <w:t>Current</w:t>
            </w:r>
          </w:p>
        </w:tc>
        <w:tc>
          <w:tcPr>
            <w:tcW w:type="dxa" w:w="1440"/>
            <w:vAlign w:val="center"/>
          </w:tcPr>
          <w:p>
            <w:pPr>
              <w:spacing w:before="0" w:after="0"/>
              <w:jc w:val="left"/>
            </w:pPr>
            <w:r>
              <w:rPr>
                <w:rFonts w:ascii="Cambria" w:hAnsi="Cambria"/>
                <w:b w:val="0"/>
                <w:color w:val="222222"/>
                <w:sz w:val="13"/>
              </w:rPr>
              <w:t>Jul 31,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Two suppliers under escalation</w:t>
            </w:r>
          </w:p>
        </w:tc>
      </w:tr>
      <w:tr>
        <w:tc>
          <w:tcPr>
            <w:tcW w:type="dxa" w:w="1944"/>
            <w:vAlign w:val="center"/>
          </w:tcPr>
          <w:p>
            <w:pPr>
              <w:spacing w:before="0" w:after="0"/>
              <w:jc w:val="left"/>
            </w:pPr>
            <w:r>
              <w:rPr>
                <w:rFonts w:ascii="Cambria" w:hAnsi="Cambria"/>
                <w:b w:val="0"/>
                <w:color w:val="222222"/>
                <w:sz w:val="13"/>
              </w:rPr>
              <w:t>Change Control</w:t>
            </w:r>
          </w:p>
        </w:tc>
        <w:tc>
          <w:tcPr>
            <w:tcW w:type="dxa" w:w="3168"/>
            <w:vAlign w:val="center"/>
          </w:tcPr>
          <w:p>
            <w:pPr>
              <w:spacing w:before="0" w:after="0"/>
              <w:jc w:val="left"/>
            </w:pPr>
            <w:r>
              <w:rPr>
                <w:rFonts w:ascii="Cambria" w:hAnsi="Cambria"/>
                <w:b w:val="0"/>
                <w:color w:val="222222"/>
                <w:sz w:val="13"/>
              </w:rPr>
              <w:t>Change Control Register</w:t>
            </w:r>
          </w:p>
        </w:tc>
        <w:tc>
          <w:tcPr>
            <w:tcW w:type="dxa" w:w="2016"/>
            <w:vAlign w:val="center"/>
          </w:tcPr>
          <w:p>
            <w:pPr>
              <w:spacing w:before="0" w:after="0"/>
              <w:jc w:val="left"/>
            </w:pPr>
            <w:r>
              <w:rPr>
                <w:rFonts w:ascii="Cambria" w:hAnsi="Cambria"/>
                <w:b w:val="0"/>
                <w:color w:val="222222"/>
                <w:sz w:val="13"/>
              </w:rPr>
              <w:t>Quality Systems Manager</w:t>
            </w:r>
          </w:p>
        </w:tc>
        <w:tc>
          <w:tcPr>
            <w:tcW w:type="dxa" w:w="936"/>
            <w:vAlign w:val="center"/>
          </w:tcPr>
          <w:p>
            <w:pPr>
              <w:spacing w:before="0" w:after="0"/>
              <w:jc w:val="left"/>
            </w:pPr>
            <w:r>
              <w:rPr>
                <w:rFonts w:ascii="Cambria" w:hAnsi="Cambria"/>
                <w:b w:val="0"/>
                <w:color w:val="222222"/>
                <w:sz w:val="13"/>
              </w:rPr>
              <w:t>R08</w:t>
            </w:r>
          </w:p>
        </w:tc>
        <w:tc>
          <w:tcPr>
            <w:tcW w:type="dxa" w:w="1224"/>
            <w:vAlign w:val="center"/>
          </w:tcPr>
          <w:p>
            <w:pPr>
              <w:spacing w:before="0" w:after="0"/>
              <w:jc w:val="left"/>
            </w:pPr>
            <w:r>
              <w:rPr>
                <w:rFonts w:ascii="Cambria" w:hAnsi="Cambria"/>
                <w:b w:val="0"/>
                <w:color w:val="222222"/>
                <w:sz w:val="13"/>
              </w:rPr>
              <w:t>Overdue</w:t>
            </w:r>
          </w:p>
        </w:tc>
        <w:tc>
          <w:tcPr>
            <w:tcW w:type="dxa" w:w="1440"/>
            <w:vAlign w:val="center"/>
          </w:tcPr>
          <w:p>
            <w:pPr>
              <w:spacing w:before="0" w:after="0"/>
              <w:jc w:val="left"/>
            </w:pPr>
            <w:r>
              <w:rPr>
                <w:rFonts w:ascii="Cambria" w:hAnsi="Cambria"/>
                <w:b w:val="0"/>
                <w:color w:val="222222"/>
                <w:sz w:val="13"/>
              </w:rPr>
              <w:t>May 31, 2025</w:t>
            </w:r>
          </w:p>
        </w:tc>
        <w:tc>
          <w:tcPr>
            <w:tcW w:type="dxa" w:w="1008"/>
            <w:vAlign w:val="center"/>
          </w:tcPr>
          <w:p>
            <w:pPr>
              <w:spacing w:before="0" w:after="0"/>
              <w:jc w:val="left"/>
            </w:pPr>
            <w:r>
              <w:rPr>
                <w:rFonts w:ascii="Cambria" w:hAnsi="Cambria"/>
                <w:b w:val="0"/>
                <w:color w:val="222222"/>
                <w:sz w:val="13"/>
              </w:rPr>
              <w:t>High</w:t>
            </w:r>
          </w:p>
        </w:tc>
        <w:tc>
          <w:tcPr>
            <w:tcW w:type="dxa" w:w="3168"/>
            <w:vAlign w:val="center"/>
          </w:tcPr>
          <w:p>
            <w:pPr>
              <w:spacing w:before="0" w:after="0"/>
              <w:jc w:val="left"/>
            </w:pPr>
            <w:r>
              <w:rPr>
                <w:rFonts w:ascii="Cambria" w:hAnsi="Cambria"/>
                <w:b w:val="0"/>
                <w:color w:val="222222"/>
                <w:sz w:val="13"/>
              </w:rPr>
              <w:t>Regulatory labeling change overdue</w:t>
            </w:r>
          </w:p>
        </w:tc>
      </w:tr>
    </w:tbl>
    <w:p>
      <w:pPr>
        <w:spacing w:before="80" w:after="80"/>
      </w:pPr>
      <w:r>
        <w:rPr>
          <w:rFonts w:ascii="Cambria" w:hAnsi="Cambria"/>
          <w:b/>
          <w:color w:val="008C95"/>
          <w:sz w:val="24"/>
        </w:rPr>
        <w:t>Controlled File Review Criteria</w:t>
      </w:r>
    </w:p>
    <w:tbl>
      <w:tblPr>
        <w:tblStyle w:val="LightGrid-Accent5"/>
        <w:tblW w:type="auto" w:w="0"/>
        <w:jc w:val="center"/>
        <w:tblLayout w:type="autofit"/>
        <w:tblLook w:firstColumn="1" w:firstRow="1" w:lastColumn="0" w:lastRow="0" w:noHBand="0" w:noVBand="1" w:val="04A0"/>
      </w:tblPr>
      <w:tblGrid>
        <w:gridCol w:w="4752"/>
        <w:gridCol w:w="4752"/>
        <w:gridCol w:w="4752"/>
      </w:tblGrid>
      <w:tr>
        <w:tc>
          <w:tcPr>
            <w:tcW w:type="dxa" w:w="2880"/>
            <w:vAlign w:val="center"/>
          </w:tcPr>
          <w:p>
            <w:pPr>
              <w:spacing w:before="0" w:after="0"/>
              <w:jc w:val="center"/>
            </w:pPr>
            <w:r>
              <w:rPr>
                <w:rFonts w:ascii="Cambria" w:hAnsi="Cambria"/>
                <w:b/>
                <w:color w:val="222222"/>
                <w:sz w:val="14"/>
              </w:rPr>
              <w:t>Control Area</w:t>
            </w:r>
          </w:p>
        </w:tc>
        <w:tc>
          <w:tcPr>
            <w:tcW w:type="dxa" w:w="7488"/>
            <w:vAlign w:val="center"/>
          </w:tcPr>
          <w:p>
            <w:pPr>
              <w:spacing w:before="0" w:after="0"/>
              <w:jc w:val="center"/>
            </w:pPr>
            <w:r>
              <w:rPr>
                <w:rFonts w:ascii="Cambria" w:hAnsi="Cambria"/>
                <w:b/>
                <w:color w:val="222222"/>
                <w:sz w:val="14"/>
              </w:rPr>
              <w:t>Minimum Requirement</w:t>
            </w:r>
          </w:p>
        </w:tc>
        <w:tc>
          <w:tcPr>
            <w:tcW w:type="dxa" w:w="4320"/>
            <w:vAlign w:val="center"/>
          </w:tcPr>
          <w:p>
            <w:pPr>
              <w:spacing w:before="0" w:after="0"/>
              <w:jc w:val="center"/>
            </w:pPr>
            <w:r>
              <w:rPr>
                <w:rFonts w:ascii="Cambria" w:hAnsi="Cambria"/>
                <w:b/>
                <w:color w:val="222222"/>
                <w:sz w:val="14"/>
              </w:rPr>
              <w:t>Escalation Trigger</w:t>
            </w:r>
          </w:p>
        </w:tc>
      </w:tr>
      <w:tr>
        <w:tc>
          <w:tcPr>
            <w:tcW w:type="dxa" w:w="2880"/>
            <w:vAlign w:val="center"/>
          </w:tcPr>
          <w:p>
            <w:pPr>
              <w:spacing w:before="0" w:after="0"/>
              <w:jc w:val="left"/>
            </w:pPr>
            <w:r>
              <w:rPr>
                <w:rFonts w:ascii="Cambria" w:hAnsi="Cambria"/>
                <w:b w:val="0"/>
                <w:color w:val="222222"/>
                <w:sz w:val="14"/>
              </w:rPr>
              <w:t>Approval and Revision</w:t>
            </w:r>
          </w:p>
        </w:tc>
        <w:tc>
          <w:tcPr>
            <w:tcW w:type="dxa" w:w="7488"/>
            <w:vAlign w:val="center"/>
          </w:tcPr>
          <w:p>
            <w:pPr>
              <w:spacing w:before="0" w:after="0"/>
              <w:jc w:val="left"/>
            </w:pPr>
            <w:r>
              <w:rPr>
                <w:rFonts w:ascii="Cambria" w:hAnsi="Cambria"/>
                <w:b w:val="0"/>
                <w:color w:val="222222"/>
                <w:sz w:val="14"/>
              </w:rPr>
              <w:t>Current approved version, clear owner, revision history and authorization</w:t>
            </w:r>
          </w:p>
        </w:tc>
        <w:tc>
          <w:tcPr>
            <w:tcW w:type="dxa" w:w="4320"/>
            <w:vAlign w:val="center"/>
          </w:tcPr>
          <w:p>
            <w:pPr>
              <w:spacing w:before="0" w:after="0"/>
              <w:jc w:val="left"/>
            </w:pPr>
            <w:r>
              <w:rPr>
                <w:rFonts w:ascii="Cambria" w:hAnsi="Cambria"/>
                <w:b w:val="0"/>
                <w:color w:val="222222"/>
                <w:sz w:val="14"/>
              </w:rPr>
              <w:t>Unapproved or obsolete document used operationally</w:t>
            </w:r>
          </w:p>
        </w:tc>
      </w:tr>
      <w:tr>
        <w:tc>
          <w:tcPr>
            <w:tcW w:type="dxa" w:w="2880"/>
            <w:vAlign w:val="center"/>
          </w:tcPr>
          <w:p>
            <w:pPr>
              <w:spacing w:before="0" w:after="0"/>
              <w:jc w:val="left"/>
            </w:pPr>
            <w:r>
              <w:rPr>
                <w:rFonts w:ascii="Cambria" w:hAnsi="Cambria"/>
                <w:b w:val="0"/>
                <w:color w:val="222222"/>
                <w:sz w:val="14"/>
              </w:rPr>
              <w:t>Availability</w:t>
            </w:r>
          </w:p>
        </w:tc>
        <w:tc>
          <w:tcPr>
            <w:tcW w:type="dxa" w:w="7488"/>
            <w:vAlign w:val="center"/>
          </w:tcPr>
          <w:p>
            <w:pPr>
              <w:spacing w:before="0" w:after="0"/>
              <w:jc w:val="left"/>
            </w:pPr>
            <w:r>
              <w:rPr>
                <w:rFonts w:ascii="Cambria" w:hAnsi="Cambria"/>
                <w:b w:val="0"/>
                <w:color w:val="222222"/>
                <w:sz w:val="14"/>
              </w:rPr>
              <w:t>Applicable documents available at point of use and protected from unintended change</w:t>
            </w:r>
          </w:p>
        </w:tc>
        <w:tc>
          <w:tcPr>
            <w:tcW w:type="dxa" w:w="4320"/>
            <w:vAlign w:val="center"/>
          </w:tcPr>
          <w:p>
            <w:pPr>
              <w:spacing w:before="0" w:after="0"/>
              <w:jc w:val="left"/>
            </w:pPr>
            <w:r>
              <w:rPr>
                <w:rFonts w:ascii="Cambria" w:hAnsi="Cambria"/>
                <w:b w:val="0"/>
                <w:color w:val="222222"/>
                <w:sz w:val="14"/>
              </w:rPr>
              <w:t>Missing or uncontrolled operational instruction</w:t>
            </w:r>
          </w:p>
        </w:tc>
      </w:tr>
      <w:tr>
        <w:tc>
          <w:tcPr>
            <w:tcW w:type="dxa" w:w="2880"/>
            <w:vAlign w:val="center"/>
          </w:tcPr>
          <w:p>
            <w:pPr>
              <w:spacing w:before="0" w:after="0"/>
              <w:jc w:val="left"/>
            </w:pPr>
            <w:r>
              <w:rPr>
                <w:rFonts w:ascii="Cambria" w:hAnsi="Cambria"/>
                <w:b w:val="0"/>
                <w:color w:val="222222"/>
                <w:sz w:val="14"/>
              </w:rPr>
              <w:t>Periodic Review</w:t>
            </w:r>
          </w:p>
        </w:tc>
        <w:tc>
          <w:tcPr>
            <w:tcW w:type="dxa" w:w="7488"/>
            <w:vAlign w:val="center"/>
          </w:tcPr>
          <w:p>
            <w:pPr>
              <w:spacing w:before="0" w:after="0"/>
              <w:jc w:val="left"/>
            </w:pPr>
            <w:r>
              <w:rPr>
                <w:rFonts w:ascii="Cambria" w:hAnsi="Cambria"/>
                <w:b w:val="0"/>
                <w:color w:val="222222"/>
                <w:sz w:val="14"/>
              </w:rPr>
              <w:t>Review date defined based on risk and process change</w:t>
            </w:r>
          </w:p>
        </w:tc>
        <w:tc>
          <w:tcPr>
            <w:tcW w:type="dxa" w:w="4320"/>
            <w:vAlign w:val="center"/>
          </w:tcPr>
          <w:p>
            <w:pPr>
              <w:spacing w:before="0" w:after="0"/>
              <w:jc w:val="left"/>
            </w:pPr>
            <w:r>
              <w:rPr>
                <w:rFonts w:ascii="Cambria" w:hAnsi="Cambria"/>
                <w:b w:val="0"/>
                <w:color w:val="222222"/>
                <w:sz w:val="14"/>
              </w:rPr>
              <w:t>Review overdue by more than 30 days</w:t>
            </w:r>
          </w:p>
        </w:tc>
      </w:tr>
      <w:tr>
        <w:tc>
          <w:tcPr>
            <w:tcW w:type="dxa" w:w="2880"/>
            <w:vAlign w:val="center"/>
          </w:tcPr>
          <w:p>
            <w:pPr>
              <w:spacing w:before="0" w:after="0"/>
              <w:jc w:val="left"/>
            </w:pPr>
            <w:r>
              <w:rPr>
                <w:rFonts w:ascii="Cambria" w:hAnsi="Cambria"/>
                <w:b w:val="0"/>
                <w:color w:val="222222"/>
                <w:sz w:val="14"/>
              </w:rPr>
              <w:t>Change Impact</w:t>
            </w:r>
          </w:p>
        </w:tc>
        <w:tc>
          <w:tcPr>
            <w:tcW w:type="dxa" w:w="7488"/>
            <w:vAlign w:val="center"/>
          </w:tcPr>
          <w:p>
            <w:pPr>
              <w:spacing w:before="0" w:after="0"/>
              <w:jc w:val="left"/>
            </w:pPr>
            <w:r>
              <w:rPr>
                <w:rFonts w:ascii="Cambria" w:hAnsi="Cambria"/>
                <w:b w:val="0"/>
                <w:color w:val="222222"/>
                <w:sz w:val="14"/>
              </w:rPr>
              <w:t>Training, validation, risk and customer/regulatory impact evaluated</w:t>
            </w:r>
          </w:p>
        </w:tc>
        <w:tc>
          <w:tcPr>
            <w:tcW w:type="dxa" w:w="4320"/>
            <w:vAlign w:val="center"/>
          </w:tcPr>
          <w:p>
            <w:pPr>
              <w:spacing w:before="0" w:after="0"/>
              <w:jc w:val="left"/>
            </w:pPr>
            <w:r>
              <w:rPr>
                <w:rFonts w:ascii="Cambria" w:hAnsi="Cambria"/>
                <w:b w:val="0"/>
                <w:color w:val="222222"/>
                <w:sz w:val="14"/>
              </w:rPr>
              <w:t>High-risk change implemented before approval</w:t>
            </w:r>
          </w:p>
        </w:tc>
      </w:tr>
      <w:tr>
        <w:tc>
          <w:tcPr>
            <w:tcW w:type="dxa" w:w="2880"/>
            <w:vAlign w:val="center"/>
          </w:tcPr>
          <w:p>
            <w:pPr>
              <w:spacing w:before="0" w:after="0"/>
              <w:jc w:val="left"/>
            </w:pPr>
            <w:r>
              <w:rPr>
                <w:rFonts w:ascii="Cambria" w:hAnsi="Cambria"/>
                <w:b w:val="0"/>
                <w:color w:val="222222"/>
                <w:sz w:val="14"/>
              </w:rPr>
              <w:t>Retention and Disposal</w:t>
            </w:r>
          </w:p>
        </w:tc>
        <w:tc>
          <w:tcPr>
            <w:tcW w:type="dxa" w:w="7488"/>
            <w:vAlign w:val="center"/>
          </w:tcPr>
          <w:p>
            <w:pPr>
              <w:spacing w:before="0" w:after="0"/>
              <w:jc w:val="left"/>
            </w:pPr>
            <w:r>
              <w:rPr>
                <w:rFonts w:ascii="Cambria" w:hAnsi="Cambria"/>
                <w:b w:val="0"/>
                <w:color w:val="222222"/>
                <w:sz w:val="14"/>
              </w:rPr>
              <w:t>Records retained, retrievable and disposed according to approved rules</w:t>
            </w:r>
          </w:p>
        </w:tc>
        <w:tc>
          <w:tcPr>
            <w:tcW w:type="dxa" w:w="4320"/>
            <w:vAlign w:val="center"/>
          </w:tcPr>
          <w:p>
            <w:pPr>
              <w:spacing w:before="0" w:after="0"/>
              <w:jc w:val="left"/>
            </w:pPr>
            <w:r>
              <w:rPr>
                <w:rFonts w:ascii="Cambria" w:hAnsi="Cambria"/>
                <w:b w:val="0"/>
                <w:color w:val="222222"/>
                <w:sz w:val="14"/>
              </w:rPr>
              <w:t>Missing mandatory evidence or retention breach</w:t>
            </w:r>
          </w:p>
        </w:tc>
      </w:tr>
    </w:tbl>
    <w:p>
      <w:r>
        <w:br w:type="page"/>
      </w:r>
    </w:p>
    <w:p>
      <w:pPr>
        <w:spacing w:before="80" w:after="80"/>
      </w:pPr>
      <w:r>
        <w:rPr>
          <w:rFonts w:ascii="Cambria" w:hAnsi="Cambria"/>
          <w:b/>
          <w:color w:val="2F75B5"/>
          <w:sz w:val="24"/>
        </w:rPr>
        <w:t>5. PROCESS PERFORMANCE SCORECARD</w:t>
      </w:r>
    </w:p>
    <w:tbl>
      <w:tblPr>
        <w:tblStyle w:val="ColorfulGrid-Accent1"/>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c>
          <w:tcPr>
            <w:tcW w:type="dxa" w:w="2088"/>
            <w:vAlign w:val="center"/>
          </w:tcPr>
          <w:p>
            <w:pPr>
              <w:spacing w:before="0" w:after="0"/>
              <w:jc w:val="center"/>
            </w:pPr>
            <w:r>
              <w:rPr>
                <w:rFonts w:ascii="Cambria" w:hAnsi="Cambria"/>
                <w:b/>
                <w:color w:val="222222"/>
                <w:sz w:val="13"/>
              </w:rPr>
              <w:t>Process</w:t>
            </w:r>
          </w:p>
        </w:tc>
        <w:tc>
          <w:tcPr>
            <w:tcW w:type="dxa" w:w="3096"/>
            <w:vAlign w:val="center"/>
          </w:tcPr>
          <w:p>
            <w:pPr>
              <w:spacing w:before="0" w:after="0"/>
              <w:jc w:val="center"/>
            </w:pPr>
            <w:r>
              <w:rPr>
                <w:rFonts w:ascii="Cambria" w:hAnsi="Cambria"/>
                <w:b/>
                <w:color w:val="222222"/>
                <w:sz w:val="13"/>
              </w:rPr>
              <w:t>Primary KPI</w:t>
            </w:r>
          </w:p>
        </w:tc>
        <w:tc>
          <w:tcPr>
            <w:tcW w:type="dxa" w:w="1152"/>
            <w:vAlign w:val="center"/>
          </w:tcPr>
          <w:p>
            <w:pPr>
              <w:spacing w:before="0" w:after="0"/>
              <w:jc w:val="center"/>
            </w:pPr>
            <w:r>
              <w:rPr>
                <w:rFonts w:ascii="Cambria" w:hAnsi="Cambria"/>
                <w:b/>
                <w:color w:val="222222"/>
                <w:sz w:val="13"/>
              </w:rPr>
              <w:t>Target</w:t>
            </w:r>
          </w:p>
        </w:tc>
        <w:tc>
          <w:tcPr>
            <w:tcW w:type="dxa" w:w="1152"/>
            <w:vAlign w:val="center"/>
          </w:tcPr>
          <w:p>
            <w:pPr>
              <w:spacing w:before="0" w:after="0"/>
              <w:jc w:val="center"/>
            </w:pPr>
            <w:r>
              <w:rPr>
                <w:rFonts w:ascii="Cambria" w:hAnsi="Cambria"/>
                <w:b/>
                <w:color w:val="222222"/>
                <w:sz w:val="13"/>
              </w:rPr>
              <w:t>Actual</w:t>
            </w:r>
          </w:p>
        </w:tc>
        <w:tc>
          <w:tcPr>
            <w:tcW w:type="dxa" w:w="1296"/>
            <w:vAlign w:val="center"/>
          </w:tcPr>
          <w:p>
            <w:pPr>
              <w:spacing w:before="0" w:after="0"/>
              <w:jc w:val="center"/>
            </w:pPr>
            <w:r>
              <w:rPr>
                <w:rFonts w:ascii="Cambria" w:hAnsi="Cambria"/>
                <w:b/>
                <w:color w:val="222222"/>
                <w:sz w:val="13"/>
              </w:rPr>
              <w:t>Trend</w:t>
            </w:r>
          </w:p>
        </w:tc>
        <w:tc>
          <w:tcPr>
            <w:tcW w:type="dxa" w:w="1008"/>
            <w:vAlign w:val="center"/>
          </w:tcPr>
          <w:p>
            <w:pPr>
              <w:spacing w:before="0" w:after="0"/>
              <w:jc w:val="center"/>
            </w:pPr>
            <w:r>
              <w:rPr>
                <w:rFonts w:ascii="Cambria" w:hAnsi="Cambria"/>
                <w:b/>
                <w:color w:val="222222"/>
                <w:sz w:val="13"/>
              </w:rPr>
              <w:t>RAG</w:t>
            </w:r>
          </w:p>
        </w:tc>
        <w:tc>
          <w:tcPr>
            <w:tcW w:type="dxa" w:w="2160"/>
            <w:vAlign w:val="center"/>
          </w:tcPr>
          <w:p>
            <w:pPr>
              <w:spacing w:before="0" w:after="0"/>
              <w:jc w:val="center"/>
            </w:pPr>
            <w:r>
              <w:rPr>
                <w:rFonts w:ascii="Cambria" w:hAnsi="Cambria"/>
                <w:b/>
                <w:color w:val="222222"/>
                <w:sz w:val="13"/>
              </w:rPr>
              <w:t>Owner</w:t>
            </w:r>
          </w:p>
        </w:tc>
        <w:tc>
          <w:tcPr>
            <w:tcW w:type="dxa" w:w="3456"/>
            <w:vAlign w:val="center"/>
          </w:tcPr>
          <w:p>
            <w:pPr>
              <w:spacing w:before="0" w:after="0"/>
              <w:jc w:val="center"/>
            </w:pPr>
            <w:r>
              <w:rPr>
                <w:rFonts w:ascii="Cambria" w:hAnsi="Cambria"/>
                <w:b/>
                <w:color w:val="222222"/>
                <w:sz w:val="13"/>
              </w:rPr>
              <w:t>Management Action</w:t>
            </w:r>
          </w:p>
        </w:tc>
      </w:tr>
      <w:tr>
        <w:tc>
          <w:tcPr>
            <w:tcW w:type="dxa" w:w="2088"/>
            <w:vAlign w:val="center"/>
          </w:tcPr>
          <w:p>
            <w:pPr>
              <w:spacing w:before="0" w:after="0"/>
              <w:jc w:val="left"/>
            </w:pPr>
            <w:r>
              <w:rPr>
                <w:rFonts w:ascii="Cambria" w:hAnsi="Cambria"/>
                <w:b w:val="0"/>
                <w:color w:val="222222"/>
                <w:sz w:val="13"/>
              </w:rPr>
              <w:t>Customer Quality</w:t>
            </w:r>
          </w:p>
        </w:tc>
        <w:tc>
          <w:tcPr>
            <w:tcW w:type="dxa" w:w="3096"/>
            <w:vAlign w:val="center"/>
          </w:tcPr>
          <w:p>
            <w:pPr>
              <w:spacing w:before="0" w:after="0"/>
              <w:jc w:val="left"/>
            </w:pPr>
            <w:r>
              <w:rPr>
                <w:rFonts w:ascii="Cambria" w:hAnsi="Cambria"/>
                <w:b w:val="0"/>
                <w:color w:val="222222"/>
                <w:sz w:val="13"/>
              </w:rPr>
              <w:t>Complaint closure within target</w:t>
            </w:r>
          </w:p>
        </w:tc>
        <w:tc>
          <w:tcPr>
            <w:tcW w:type="dxa" w:w="1152"/>
            <w:vAlign w:val="center"/>
          </w:tcPr>
          <w:p>
            <w:pPr>
              <w:spacing w:before="0" w:after="0"/>
              <w:jc w:val="left"/>
            </w:pPr>
            <w:r>
              <w:rPr>
                <w:rFonts w:ascii="Cambria" w:hAnsi="Cambria"/>
                <w:b w:val="0"/>
                <w:color w:val="222222"/>
                <w:sz w:val="13"/>
              </w:rPr>
              <w:t>&gt;= 95%</w:t>
            </w:r>
          </w:p>
        </w:tc>
        <w:tc>
          <w:tcPr>
            <w:tcW w:type="dxa" w:w="1152"/>
            <w:vAlign w:val="center"/>
          </w:tcPr>
          <w:p>
            <w:pPr>
              <w:spacing w:before="0" w:after="0"/>
              <w:jc w:val="left"/>
            </w:pPr>
            <w:r>
              <w:rPr>
                <w:rFonts w:ascii="Cambria" w:hAnsi="Cambria"/>
                <w:b w:val="0"/>
                <w:color w:val="222222"/>
                <w:sz w:val="13"/>
              </w:rPr>
              <w:t>93%</w:t>
            </w:r>
          </w:p>
        </w:tc>
        <w:tc>
          <w:tcPr>
            <w:tcW w:type="dxa" w:w="1296"/>
            <w:vAlign w:val="center"/>
          </w:tcPr>
          <w:p>
            <w:pPr>
              <w:spacing w:before="0" w:after="0"/>
              <w:jc w:val="left"/>
            </w:pPr>
            <w:r>
              <w:rPr>
                <w:rFonts w:ascii="Cambria" w:hAnsi="Cambria"/>
                <w:b w:val="0"/>
                <w:color w:val="222222"/>
                <w:sz w:val="13"/>
              </w:rPr>
              <w:t>Improving</w:t>
            </w:r>
          </w:p>
        </w:tc>
        <w:tc>
          <w:tcPr>
            <w:tcW w:type="dxa" w:w="1008"/>
            <w:vAlign w:val="center"/>
          </w:tcPr>
          <w:p>
            <w:pPr>
              <w:spacing w:before="0" w:after="0"/>
              <w:jc w:val="left"/>
            </w:pPr>
            <w:r>
              <w:rPr>
                <w:rFonts w:ascii="Cambria" w:hAnsi="Cambria"/>
                <w:b w:val="0"/>
                <w:color w:val="222222"/>
                <w:sz w:val="13"/>
              </w:rPr>
              <w:t>Amber</w:t>
            </w:r>
          </w:p>
        </w:tc>
        <w:tc>
          <w:tcPr>
            <w:tcW w:type="dxa" w:w="2160"/>
            <w:vAlign w:val="center"/>
          </w:tcPr>
          <w:p>
            <w:pPr>
              <w:spacing w:before="0" w:after="0"/>
              <w:jc w:val="left"/>
            </w:pPr>
            <w:r>
              <w:rPr>
                <w:rFonts w:ascii="Cambria" w:hAnsi="Cambria"/>
                <w:b w:val="0"/>
                <w:color w:val="222222"/>
                <w:sz w:val="13"/>
              </w:rPr>
              <w:t>Customer Quality Lead</w:t>
            </w:r>
          </w:p>
        </w:tc>
        <w:tc>
          <w:tcPr>
            <w:tcW w:type="dxa" w:w="3456"/>
            <w:vAlign w:val="center"/>
          </w:tcPr>
          <w:p>
            <w:pPr>
              <w:spacing w:before="0" w:after="0"/>
              <w:jc w:val="left"/>
            </w:pPr>
            <w:r>
              <w:rPr>
                <w:rFonts w:ascii="Cambria" w:hAnsi="Cambria"/>
                <w:b w:val="0"/>
                <w:color w:val="222222"/>
                <w:sz w:val="13"/>
              </w:rPr>
              <w:t>Reduce aged complaint backlog</w:t>
            </w:r>
          </w:p>
        </w:tc>
      </w:tr>
      <w:tr>
        <w:tc>
          <w:tcPr>
            <w:tcW w:type="dxa" w:w="2088"/>
            <w:vAlign w:val="center"/>
          </w:tcPr>
          <w:p>
            <w:pPr>
              <w:spacing w:before="0" w:after="0"/>
              <w:jc w:val="left"/>
            </w:pPr>
            <w:r>
              <w:rPr>
                <w:rFonts w:ascii="Cambria" w:hAnsi="Cambria"/>
                <w:b w:val="0"/>
                <w:color w:val="222222"/>
                <w:sz w:val="13"/>
              </w:rPr>
              <w:t>Manufacturing Quality</w:t>
            </w:r>
          </w:p>
        </w:tc>
        <w:tc>
          <w:tcPr>
            <w:tcW w:type="dxa" w:w="3096"/>
            <w:vAlign w:val="center"/>
          </w:tcPr>
          <w:p>
            <w:pPr>
              <w:spacing w:before="0" w:after="0"/>
              <w:jc w:val="left"/>
            </w:pPr>
            <w:r>
              <w:rPr>
                <w:rFonts w:ascii="Cambria" w:hAnsi="Cambria"/>
                <w:b w:val="0"/>
                <w:color w:val="222222"/>
                <w:sz w:val="13"/>
              </w:rPr>
              <w:t>First-pass yield</w:t>
            </w:r>
          </w:p>
        </w:tc>
        <w:tc>
          <w:tcPr>
            <w:tcW w:type="dxa" w:w="1152"/>
            <w:vAlign w:val="center"/>
          </w:tcPr>
          <w:p>
            <w:pPr>
              <w:spacing w:before="0" w:after="0"/>
              <w:jc w:val="left"/>
            </w:pPr>
            <w:r>
              <w:rPr>
                <w:rFonts w:ascii="Cambria" w:hAnsi="Cambria"/>
                <w:b w:val="0"/>
                <w:color w:val="222222"/>
                <w:sz w:val="13"/>
              </w:rPr>
              <w:t>&gt;= 98%</w:t>
            </w:r>
          </w:p>
        </w:tc>
        <w:tc>
          <w:tcPr>
            <w:tcW w:type="dxa" w:w="1152"/>
            <w:vAlign w:val="center"/>
          </w:tcPr>
          <w:p>
            <w:pPr>
              <w:spacing w:before="0" w:after="0"/>
              <w:jc w:val="left"/>
            </w:pPr>
            <w:r>
              <w:rPr>
                <w:rFonts w:ascii="Cambria" w:hAnsi="Cambria"/>
                <w:b w:val="0"/>
                <w:color w:val="222222"/>
                <w:sz w:val="13"/>
              </w:rPr>
              <w:t>97.4%</w:t>
            </w:r>
          </w:p>
        </w:tc>
        <w:tc>
          <w:tcPr>
            <w:tcW w:type="dxa" w:w="1296"/>
            <w:vAlign w:val="center"/>
          </w:tcPr>
          <w:p>
            <w:pPr>
              <w:spacing w:before="0" w:after="0"/>
              <w:jc w:val="left"/>
            </w:pPr>
            <w:r>
              <w:rPr>
                <w:rFonts w:ascii="Cambria" w:hAnsi="Cambria"/>
                <w:b w:val="0"/>
                <w:color w:val="222222"/>
                <w:sz w:val="13"/>
              </w:rPr>
              <w:t>Improving</w:t>
            </w:r>
          </w:p>
        </w:tc>
        <w:tc>
          <w:tcPr>
            <w:tcW w:type="dxa" w:w="1008"/>
            <w:vAlign w:val="center"/>
          </w:tcPr>
          <w:p>
            <w:pPr>
              <w:spacing w:before="0" w:after="0"/>
              <w:jc w:val="left"/>
            </w:pPr>
            <w:r>
              <w:rPr>
                <w:rFonts w:ascii="Cambria" w:hAnsi="Cambria"/>
                <w:b w:val="0"/>
                <w:color w:val="222222"/>
                <w:sz w:val="13"/>
              </w:rPr>
              <w:t>Amber</w:t>
            </w:r>
          </w:p>
        </w:tc>
        <w:tc>
          <w:tcPr>
            <w:tcW w:type="dxa" w:w="2160"/>
            <w:vAlign w:val="center"/>
          </w:tcPr>
          <w:p>
            <w:pPr>
              <w:spacing w:before="0" w:after="0"/>
              <w:jc w:val="left"/>
            </w:pPr>
            <w:r>
              <w:rPr>
                <w:rFonts w:ascii="Cambria" w:hAnsi="Cambria"/>
                <w:b w:val="0"/>
                <w:color w:val="222222"/>
                <w:sz w:val="13"/>
              </w:rPr>
              <w:t>Operations Director</w:t>
            </w:r>
          </w:p>
        </w:tc>
        <w:tc>
          <w:tcPr>
            <w:tcW w:type="dxa" w:w="3456"/>
            <w:vAlign w:val="center"/>
          </w:tcPr>
          <w:p>
            <w:pPr>
              <w:spacing w:before="0" w:after="0"/>
              <w:jc w:val="left"/>
            </w:pPr>
            <w:r>
              <w:rPr>
                <w:rFonts w:ascii="Cambria" w:hAnsi="Cambria"/>
                <w:b w:val="0"/>
                <w:color w:val="222222"/>
                <w:sz w:val="13"/>
              </w:rPr>
              <w:t>Prioritize top loss categories</w:t>
            </w:r>
          </w:p>
        </w:tc>
      </w:tr>
      <w:tr>
        <w:tc>
          <w:tcPr>
            <w:tcW w:type="dxa" w:w="2088"/>
            <w:vAlign w:val="center"/>
          </w:tcPr>
          <w:p>
            <w:pPr>
              <w:spacing w:before="0" w:after="0"/>
              <w:jc w:val="left"/>
            </w:pPr>
            <w:r>
              <w:rPr>
                <w:rFonts w:ascii="Cambria" w:hAnsi="Cambria"/>
                <w:b w:val="0"/>
                <w:color w:val="222222"/>
                <w:sz w:val="13"/>
              </w:rPr>
              <w:t>Supplier Quality</w:t>
            </w:r>
          </w:p>
        </w:tc>
        <w:tc>
          <w:tcPr>
            <w:tcW w:type="dxa" w:w="3096"/>
            <w:vAlign w:val="center"/>
          </w:tcPr>
          <w:p>
            <w:pPr>
              <w:spacing w:before="0" w:after="0"/>
              <w:jc w:val="left"/>
            </w:pPr>
            <w:r>
              <w:rPr>
                <w:rFonts w:ascii="Cambria" w:hAnsi="Cambria"/>
                <w:b w:val="0"/>
                <w:color w:val="222222"/>
                <w:sz w:val="13"/>
              </w:rPr>
              <w:t>Accepted incoming lots</w:t>
            </w:r>
          </w:p>
        </w:tc>
        <w:tc>
          <w:tcPr>
            <w:tcW w:type="dxa" w:w="1152"/>
            <w:vAlign w:val="center"/>
          </w:tcPr>
          <w:p>
            <w:pPr>
              <w:spacing w:before="0" w:after="0"/>
              <w:jc w:val="left"/>
            </w:pPr>
            <w:r>
              <w:rPr>
                <w:rFonts w:ascii="Cambria" w:hAnsi="Cambria"/>
                <w:b w:val="0"/>
                <w:color w:val="222222"/>
                <w:sz w:val="13"/>
              </w:rPr>
              <w:t>&gt;= 98%</w:t>
            </w:r>
          </w:p>
        </w:tc>
        <w:tc>
          <w:tcPr>
            <w:tcW w:type="dxa" w:w="1152"/>
            <w:vAlign w:val="center"/>
          </w:tcPr>
          <w:p>
            <w:pPr>
              <w:spacing w:before="0" w:after="0"/>
              <w:jc w:val="left"/>
            </w:pPr>
            <w:r>
              <w:rPr>
                <w:rFonts w:ascii="Cambria" w:hAnsi="Cambria"/>
                <w:b w:val="0"/>
                <w:color w:val="222222"/>
                <w:sz w:val="13"/>
              </w:rPr>
              <w:t>96.8%</w:t>
            </w:r>
          </w:p>
        </w:tc>
        <w:tc>
          <w:tcPr>
            <w:tcW w:type="dxa" w:w="1296"/>
            <w:vAlign w:val="center"/>
          </w:tcPr>
          <w:p>
            <w:pPr>
              <w:spacing w:before="0" w:after="0"/>
              <w:jc w:val="left"/>
            </w:pPr>
            <w:r>
              <w:rPr>
                <w:rFonts w:ascii="Cambria" w:hAnsi="Cambria"/>
                <w:b w:val="0"/>
                <w:color w:val="222222"/>
                <w:sz w:val="13"/>
              </w:rPr>
              <w:t>Declining</w:t>
            </w:r>
          </w:p>
        </w:tc>
        <w:tc>
          <w:tcPr>
            <w:tcW w:type="dxa" w:w="1008"/>
            <w:vAlign w:val="center"/>
          </w:tcPr>
          <w:p>
            <w:pPr>
              <w:spacing w:before="0" w:after="0"/>
              <w:jc w:val="left"/>
            </w:pPr>
            <w:r>
              <w:rPr>
                <w:rFonts w:ascii="Cambria" w:hAnsi="Cambria"/>
                <w:b w:val="0"/>
                <w:color w:val="222222"/>
                <w:sz w:val="13"/>
              </w:rPr>
              <w:t>Red</w:t>
            </w:r>
          </w:p>
        </w:tc>
        <w:tc>
          <w:tcPr>
            <w:tcW w:type="dxa" w:w="2160"/>
            <w:vAlign w:val="center"/>
          </w:tcPr>
          <w:p>
            <w:pPr>
              <w:spacing w:before="0" w:after="0"/>
              <w:jc w:val="left"/>
            </w:pPr>
            <w:r>
              <w:rPr>
                <w:rFonts w:ascii="Cambria" w:hAnsi="Cambria"/>
                <w:b w:val="0"/>
                <w:color w:val="222222"/>
                <w:sz w:val="13"/>
              </w:rPr>
              <w:t>Supply Chain Director</w:t>
            </w:r>
          </w:p>
        </w:tc>
        <w:tc>
          <w:tcPr>
            <w:tcW w:type="dxa" w:w="3456"/>
            <w:vAlign w:val="center"/>
          </w:tcPr>
          <w:p>
            <w:pPr>
              <w:spacing w:before="0" w:after="0"/>
              <w:jc w:val="left"/>
            </w:pPr>
            <w:r>
              <w:rPr>
                <w:rFonts w:ascii="Cambria" w:hAnsi="Cambria"/>
                <w:b w:val="0"/>
                <w:color w:val="222222"/>
                <w:sz w:val="13"/>
              </w:rPr>
              <w:t>Escalate two strategic suppliers</w:t>
            </w:r>
          </w:p>
        </w:tc>
      </w:tr>
      <w:tr>
        <w:tc>
          <w:tcPr>
            <w:tcW w:type="dxa" w:w="2088"/>
            <w:vAlign w:val="center"/>
          </w:tcPr>
          <w:p>
            <w:pPr>
              <w:spacing w:before="0" w:after="0"/>
              <w:jc w:val="left"/>
            </w:pPr>
            <w:r>
              <w:rPr>
                <w:rFonts w:ascii="Cambria" w:hAnsi="Cambria"/>
                <w:b w:val="0"/>
                <w:color w:val="222222"/>
                <w:sz w:val="13"/>
              </w:rPr>
              <w:t>CAPA</w:t>
            </w:r>
          </w:p>
        </w:tc>
        <w:tc>
          <w:tcPr>
            <w:tcW w:type="dxa" w:w="3096"/>
            <w:vAlign w:val="center"/>
          </w:tcPr>
          <w:p>
            <w:pPr>
              <w:spacing w:before="0" w:after="0"/>
              <w:jc w:val="left"/>
            </w:pPr>
            <w:r>
              <w:rPr>
                <w:rFonts w:ascii="Cambria" w:hAnsi="Cambria"/>
                <w:b w:val="0"/>
                <w:color w:val="222222"/>
                <w:sz w:val="13"/>
              </w:rPr>
              <w:t>CAPA closure on time</w:t>
            </w:r>
          </w:p>
        </w:tc>
        <w:tc>
          <w:tcPr>
            <w:tcW w:type="dxa" w:w="1152"/>
            <w:vAlign w:val="center"/>
          </w:tcPr>
          <w:p>
            <w:pPr>
              <w:spacing w:before="0" w:after="0"/>
              <w:jc w:val="left"/>
            </w:pPr>
            <w:r>
              <w:rPr>
                <w:rFonts w:ascii="Cambria" w:hAnsi="Cambria"/>
                <w:b w:val="0"/>
                <w:color w:val="222222"/>
                <w:sz w:val="13"/>
              </w:rPr>
              <w:t>&gt;= 95%</w:t>
            </w:r>
          </w:p>
        </w:tc>
        <w:tc>
          <w:tcPr>
            <w:tcW w:type="dxa" w:w="1152"/>
            <w:vAlign w:val="center"/>
          </w:tcPr>
          <w:p>
            <w:pPr>
              <w:spacing w:before="0" w:after="0"/>
              <w:jc w:val="left"/>
            </w:pPr>
            <w:r>
              <w:rPr>
                <w:rFonts w:ascii="Cambria" w:hAnsi="Cambria"/>
                <w:b w:val="0"/>
                <w:color w:val="222222"/>
                <w:sz w:val="13"/>
              </w:rPr>
              <w:t>92.4%</w:t>
            </w:r>
          </w:p>
        </w:tc>
        <w:tc>
          <w:tcPr>
            <w:tcW w:type="dxa" w:w="1296"/>
            <w:vAlign w:val="center"/>
          </w:tcPr>
          <w:p>
            <w:pPr>
              <w:spacing w:before="0" w:after="0"/>
              <w:jc w:val="left"/>
            </w:pPr>
            <w:r>
              <w:rPr>
                <w:rFonts w:ascii="Cambria" w:hAnsi="Cambria"/>
                <w:b w:val="0"/>
                <w:color w:val="222222"/>
                <w:sz w:val="13"/>
              </w:rPr>
              <w:t>Improving</w:t>
            </w:r>
          </w:p>
        </w:tc>
        <w:tc>
          <w:tcPr>
            <w:tcW w:type="dxa" w:w="1008"/>
            <w:vAlign w:val="center"/>
          </w:tcPr>
          <w:p>
            <w:pPr>
              <w:spacing w:before="0" w:after="0"/>
              <w:jc w:val="left"/>
            </w:pPr>
            <w:r>
              <w:rPr>
                <w:rFonts w:ascii="Cambria" w:hAnsi="Cambria"/>
                <w:b w:val="0"/>
                <w:color w:val="222222"/>
                <w:sz w:val="13"/>
              </w:rPr>
              <w:t>Amber</w:t>
            </w:r>
          </w:p>
        </w:tc>
        <w:tc>
          <w:tcPr>
            <w:tcW w:type="dxa" w:w="2160"/>
            <w:vAlign w:val="center"/>
          </w:tcPr>
          <w:p>
            <w:pPr>
              <w:spacing w:before="0" w:after="0"/>
              <w:jc w:val="left"/>
            </w:pPr>
            <w:r>
              <w:rPr>
                <w:rFonts w:ascii="Cambria" w:hAnsi="Cambria"/>
                <w:b w:val="0"/>
                <w:color w:val="222222"/>
                <w:sz w:val="13"/>
              </w:rPr>
              <w:t>CAPA Manager</w:t>
            </w:r>
          </w:p>
        </w:tc>
        <w:tc>
          <w:tcPr>
            <w:tcW w:type="dxa" w:w="3456"/>
            <w:vAlign w:val="center"/>
          </w:tcPr>
          <w:p>
            <w:pPr>
              <w:spacing w:before="0" w:after="0"/>
              <w:jc w:val="left"/>
            </w:pPr>
            <w:r>
              <w:rPr>
                <w:rFonts w:ascii="Cambria" w:hAnsi="Cambria"/>
                <w:b w:val="0"/>
                <w:color w:val="222222"/>
                <w:sz w:val="13"/>
              </w:rPr>
              <w:t>Close effectiveness reviews</w:t>
            </w:r>
          </w:p>
        </w:tc>
      </w:tr>
      <w:tr>
        <w:tc>
          <w:tcPr>
            <w:tcW w:type="dxa" w:w="2088"/>
            <w:vAlign w:val="center"/>
          </w:tcPr>
          <w:p>
            <w:pPr>
              <w:spacing w:before="0" w:after="0"/>
              <w:jc w:val="left"/>
            </w:pPr>
            <w:r>
              <w:rPr>
                <w:rFonts w:ascii="Cambria" w:hAnsi="Cambria"/>
                <w:b w:val="0"/>
                <w:color w:val="222222"/>
                <w:sz w:val="13"/>
              </w:rPr>
              <w:t>Internal Audit</w:t>
            </w:r>
          </w:p>
        </w:tc>
        <w:tc>
          <w:tcPr>
            <w:tcW w:type="dxa" w:w="3096"/>
            <w:vAlign w:val="center"/>
          </w:tcPr>
          <w:p>
            <w:pPr>
              <w:spacing w:before="0" w:after="0"/>
              <w:jc w:val="left"/>
            </w:pPr>
            <w:r>
              <w:rPr>
                <w:rFonts w:ascii="Cambria" w:hAnsi="Cambria"/>
                <w:b w:val="0"/>
                <w:color w:val="222222"/>
                <w:sz w:val="13"/>
              </w:rPr>
              <w:t>Audit plan completed</w:t>
            </w:r>
          </w:p>
        </w:tc>
        <w:tc>
          <w:tcPr>
            <w:tcW w:type="dxa" w:w="1152"/>
            <w:vAlign w:val="center"/>
          </w:tcPr>
          <w:p>
            <w:pPr>
              <w:spacing w:before="0" w:after="0"/>
              <w:jc w:val="left"/>
            </w:pPr>
            <w:r>
              <w:rPr>
                <w:rFonts w:ascii="Cambria" w:hAnsi="Cambria"/>
                <w:b w:val="0"/>
                <w:color w:val="222222"/>
                <w:sz w:val="13"/>
              </w:rPr>
              <w:t>&gt;= 95%</w:t>
            </w:r>
          </w:p>
        </w:tc>
        <w:tc>
          <w:tcPr>
            <w:tcW w:type="dxa" w:w="1152"/>
            <w:vAlign w:val="center"/>
          </w:tcPr>
          <w:p>
            <w:pPr>
              <w:spacing w:before="0" w:after="0"/>
              <w:jc w:val="left"/>
            </w:pPr>
            <w:r>
              <w:rPr>
                <w:rFonts w:ascii="Cambria" w:hAnsi="Cambria"/>
                <w:b w:val="0"/>
                <w:color w:val="222222"/>
                <w:sz w:val="13"/>
              </w:rPr>
              <w:t>87.5%</w:t>
            </w:r>
          </w:p>
        </w:tc>
        <w:tc>
          <w:tcPr>
            <w:tcW w:type="dxa" w:w="1296"/>
            <w:vAlign w:val="center"/>
          </w:tcPr>
          <w:p>
            <w:pPr>
              <w:spacing w:before="0" w:after="0"/>
              <w:jc w:val="left"/>
            </w:pPr>
            <w:r>
              <w:rPr>
                <w:rFonts w:ascii="Cambria" w:hAnsi="Cambria"/>
                <w:b w:val="0"/>
                <w:color w:val="222222"/>
                <w:sz w:val="13"/>
              </w:rPr>
              <w:t>Stable</w:t>
            </w:r>
          </w:p>
        </w:tc>
        <w:tc>
          <w:tcPr>
            <w:tcW w:type="dxa" w:w="1008"/>
            <w:vAlign w:val="center"/>
          </w:tcPr>
          <w:p>
            <w:pPr>
              <w:spacing w:before="0" w:after="0"/>
              <w:jc w:val="left"/>
            </w:pPr>
            <w:r>
              <w:rPr>
                <w:rFonts w:ascii="Cambria" w:hAnsi="Cambria"/>
                <w:b w:val="0"/>
                <w:color w:val="222222"/>
                <w:sz w:val="13"/>
              </w:rPr>
              <w:t>Red</w:t>
            </w:r>
          </w:p>
        </w:tc>
        <w:tc>
          <w:tcPr>
            <w:tcW w:type="dxa" w:w="2160"/>
            <w:vAlign w:val="center"/>
          </w:tcPr>
          <w:p>
            <w:pPr>
              <w:spacing w:before="0" w:after="0"/>
              <w:jc w:val="left"/>
            </w:pPr>
            <w:r>
              <w:rPr>
                <w:rFonts w:ascii="Cambria" w:hAnsi="Cambria"/>
                <w:b w:val="0"/>
                <w:color w:val="222222"/>
                <w:sz w:val="13"/>
              </w:rPr>
              <w:t>Lead Auditor</w:t>
            </w:r>
          </w:p>
        </w:tc>
        <w:tc>
          <w:tcPr>
            <w:tcW w:type="dxa" w:w="3456"/>
            <w:vAlign w:val="center"/>
          </w:tcPr>
          <w:p>
            <w:pPr>
              <w:spacing w:before="0" w:after="0"/>
              <w:jc w:val="left"/>
            </w:pPr>
            <w:r>
              <w:rPr>
                <w:rFonts w:ascii="Cambria" w:hAnsi="Cambria"/>
                <w:b w:val="0"/>
                <w:color w:val="222222"/>
                <w:sz w:val="13"/>
              </w:rPr>
              <w:t>Recover delayed audits</w:t>
            </w:r>
          </w:p>
        </w:tc>
      </w:tr>
      <w:tr>
        <w:tc>
          <w:tcPr>
            <w:tcW w:type="dxa" w:w="2088"/>
            <w:vAlign w:val="center"/>
          </w:tcPr>
          <w:p>
            <w:pPr>
              <w:spacing w:before="0" w:after="0"/>
              <w:jc w:val="left"/>
            </w:pPr>
            <w:r>
              <w:rPr>
                <w:rFonts w:ascii="Cambria" w:hAnsi="Cambria"/>
                <w:b w:val="0"/>
                <w:color w:val="222222"/>
                <w:sz w:val="13"/>
              </w:rPr>
              <w:t>Document Control</w:t>
            </w:r>
          </w:p>
        </w:tc>
        <w:tc>
          <w:tcPr>
            <w:tcW w:type="dxa" w:w="3096"/>
            <w:vAlign w:val="center"/>
          </w:tcPr>
          <w:p>
            <w:pPr>
              <w:spacing w:before="0" w:after="0"/>
              <w:jc w:val="left"/>
            </w:pPr>
            <w:r>
              <w:rPr>
                <w:rFonts w:ascii="Cambria" w:hAnsi="Cambria"/>
                <w:b w:val="0"/>
                <w:color w:val="222222"/>
                <w:sz w:val="13"/>
              </w:rPr>
              <w:t>Documents reviewed on time</w:t>
            </w:r>
          </w:p>
        </w:tc>
        <w:tc>
          <w:tcPr>
            <w:tcW w:type="dxa" w:w="1152"/>
            <w:vAlign w:val="center"/>
          </w:tcPr>
          <w:p>
            <w:pPr>
              <w:spacing w:before="0" w:after="0"/>
              <w:jc w:val="left"/>
            </w:pPr>
            <w:r>
              <w:rPr>
                <w:rFonts w:ascii="Cambria" w:hAnsi="Cambria"/>
                <w:b w:val="0"/>
                <w:color w:val="222222"/>
                <w:sz w:val="13"/>
              </w:rPr>
              <w:t>&gt;= 98%</w:t>
            </w:r>
          </w:p>
        </w:tc>
        <w:tc>
          <w:tcPr>
            <w:tcW w:type="dxa" w:w="1152"/>
            <w:vAlign w:val="center"/>
          </w:tcPr>
          <w:p>
            <w:pPr>
              <w:spacing w:before="0" w:after="0"/>
              <w:jc w:val="left"/>
            </w:pPr>
            <w:r>
              <w:rPr>
                <w:rFonts w:ascii="Cambria" w:hAnsi="Cambria"/>
                <w:b w:val="0"/>
                <w:color w:val="222222"/>
                <w:sz w:val="13"/>
              </w:rPr>
              <w:t>96.5%</w:t>
            </w:r>
          </w:p>
        </w:tc>
        <w:tc>
          <w:tcPr>
            <w:tcW w:type="dxa" w:w="1296"/>
            <w:vAlign w:val="center"/>
          </w:tcPr>
          <w:p>
            <w:pPr>
              <w:spacing w:before="0" w:after="0"/>
              <w:jc w:val="left"/>
            </w:pPr>
            <w:r>
              <w:rPr>
                <w:rFonts w:ascii="Cambria" w:hAnsi="Cambria"/>
                <w:b w:val="0"/>
                <w:color w:val="222222"/>
                <w:sz w:val="13"/>
              </w:rPr>
              <w:t>Stable</w:t>
            </w:r>
          </w:p>
        </w:tc>
        <w:tc>
          <w:tcPr>
            <w:tcW w:type="dxa" w:w="1008"/>
            <w:vAlign w:val="center"/>
          </w:tcPr>
          <w:p>
            <w:pPr>
              <w:spacing w:before="0" w:after="0"/>
              <w:jc w:val="left"/>
            </w:pPr>
            <w:r>
              <w:rPr>
                <w:rFonts w:ascii="Cambria" w:hAnsi="Cambria"/>
                <w:b w:val="0"/>
                <w:color w:val="222222"/>
                <w:sz w:val="13"/>
              </w:rPr>
              <w:t>Amber</w:t>
            </w:r>
          </w:p>
        </w:tc>
        <w:tc>
          <w:tcPr>
            <w:tcW w:type="dxa" w:w="2160"/>
            <w:vAlign w:val="center"/>
          </w:tcPr>
          <w:p>
            <w:pPr>
              <w:spacing w:before="0" w:after="0"/>
              <w:jc w:val="left"/>
            </w:pPr>
            <w:r>
              <w:rPr>
                <w:rFonts w:ascii="Cambria" w:hAnsi="Cambria"/>
                <w:b w:val="0"/>
                <w:color w:val="222222"/>
                <w:sz w:val="13"/>
              </w:rPr>
              <w:t>Document Control Lead</w:t>
            </w:r>
          </w:p>
        </w:tc>
        <w:tc>
          <w:tcPr>
            <w:tcW w:type="dxa" w:w="3456"/>
            <w:vAlign w:val="center"/>
          </w:tcPr>
          <w:p>
            <w:pPr>
              <w:spacing w:before="0" w:after="0"/>
              <w:jc w:val="left"/>
            </w:pPr>
            <w:r>
              <w:rPr>
                <w:rFonts w:ascii="Cambria" w:hAnsi="Cambria"/>
                <w:b w:val="0"/>
                <w:color w:val="222222"/>
                <w:sz w:val="13"/>
              </w:rPr>
              <w:t>Reassign overdue reviews</w:t>
            </w:r>
          </w:p>
        </w:tc>
      </w:tr>
      <w:tr>
        <w:tc>
          <w:tcPr>
            <w:tcW w:type="dxa" w:w="2088"/>
            <w:vAlign w:val="center"/>
          </w:tcPr>
          <w:p>
            <w:pPr>
              <w:spacing w:before="0" w:after="0"/>
              <w:jc w:val="left"/>
            </w:pPr>
            <w:r>
              <w:rPr>
                <w:rFonts w:ascii="Cambria" w:hAnsi="Cambria"/>
                <w:b w:val="0"/>
                <w:color w:val="222222"/>
                <w:sz w:val="13"/>
              </w:rPr>
              <w:t>Training</w:t>
            </w:r>
          </w:p>
        </w:tc>
        <w:tc>
          <w:tcPr>
            <w:tcW w:type="dxa" w:w="3096"/>
            <w:vAlign w:val="center"/>
          </w:tcPr>
          <w:p>
            <w:pPr>
              <w:spacing w:before="0" w:after="0"/>
              <w:jc w:val="left"/>
            </w:pPr>
            <w:r>
              <w:rPr>
                <w:rFonts w:ascii="Cambria" w:hAnsi="Cambria"/>
                <w:b w:val="0"/>
                <w:color w:val="222222"/>
                <w:sz w:val="13"/>
              </w:rPr>
              <w:t>Mandatory training completion</w:t>
            </w:r>
          </w:p>
        </w:tc>
        <w:tc>
          <w:tcPr>
            <w:tcW w:type="dxa" w:w="1152"/>
            <w:vAlign w:val="center"/>
          </w:tcPr>
          <w:p>
            <w:pPr>
              <w:spacing w:before="0" w:after="0"/>
              <w:jc w:val="left"/>
            </w:pPr>
            <w:r>
              <w:rPr>
                <w:rFonts w:ascii="Cambria" w:hAnsi="Cambria"/>
                <w:b w:val="0"/>
                <w:color w:val="222222"/>
                <w:sz w:val="13"/>
              </w:rPr>
              <w:t>&gt;= 95%</w:t>
            </w:r>
          </w:p>
        </w:tc>
        <w:tc>
          <w:tcPr>
            <w:tcW w:type="dxa" w:w="1152"/>
            <w:vAlign w:val="center"/>
          </w:tcPr>
          <w:p>
            <w:pPr>
              <w:spacing w:before="0" w:after="0"/>
              <w:jc w:val="left"/>
            </w:pPr>
            <w:r>
              <w:rPr>
                <w:rFonts w:ascii="Cambria" w:hAnsi="Cambria"/>
                <w:b w:val="0"/>
                <w:color w:val="222222"/>
                <w:sz w:val="13"/>
              </w:rPr>
              <w:t>94.7%</w:t>
            </w:r>
          </w:p>
        </w:tc>
        <w:tc>
          <w:tcPr>
            <w:tcW w:type="dxa" w:w="1296"/>
            <w:vAlign w:val="center"/>
          </w:tcPr>
          <w:p>
            <w:pPr>
              <w:spacing w:before="0" w:after="0"/>
              <w:jc w:val="left"/>
            </w:pPr>
            <w:r>
              <w:rPr>
                <w:rFonts w:ascii="Cambria" w:hAnsi="Cambria"/>
                <w:b w:val="0"/>
                <w:color w:val="222222"/>
                <w:sz w:val="13"/>
              </w:rPr>
              <w:t>Improving</w:t>
            </w:r>
          </w:p>
        </w:tc>
        <w:tc>
          <w:tcPr>
            <w:tcW w:type="dxa" w:w="1008"/>
            <w:vAlign w:val="center"/>
          </w:tcPr>
          <w:p>
            <w:pPr>
              <w:spacing w:before="0" w:after="0"/>
              <w:jc w:val="left"/>
            </w:pPr>
            <w:r>
              <w:rPr>
                <w:rFonts w:ascii="Cambria" w:hAnsi="Cambria"/>
                <w:b w:val="0"/>
                <w:color w:val="222222"/>
                <w:sz w:val="13"/>
              </w:rPr>
              <w:t>Amber</w:t>
            </w:r>
          </w:p>
        </w:tc>
        <w:tc>
          <w:tcPr>
            <w:tcW w:type="dxa" w:w="2160"/>
            <w:vAlign w:val="center"/>
          </w:tcPr>
          <w:p>
            <w:pPr>
              <w:spacing w:before="0" w:after="0"/>
              <w:jc w:val="left"/>
            </w:pPr>
            <w:r>
              <w:rPr>
                <w:rFonts w:ascii="Cambria" w:hAnsi="Cambria"/>
                <w:b w:val="0"/>
                <w:color w:val="222222"/>
                <w:sz w:val="13"/>
              </w:rPr>
              <w:t>L&amp;D Manager</w:t>
            </w:r>
          </w:p>
        </w:tc>
        <w:tc>
          <w:tcPr>
            <w:tcW w:type="dxa" w:w="3456"/>
            <w:vAlign w:val="center"/>
          </w:tcPr>
          <w:p>
            <w:pPr>
              <w:spacing w:before="0" w:after="0"/>
              <w:jc w:val="left"/>
            </w:pPr>
            <w:r>
              <w:rPr>
                <w:rFonts w:ascii="Cambria" w:hAnsi="Cambria"/>
                <w:b w:val="0"/>
                <w:color w:val="222222"/>
                <w:sz w:val="13"/>
              </w:rPr>
              <w:t>Focus on Supply Chain</w:t>
            </w:r>
          </w:p>
        </w:tc>
      </w:tr>
    </w:tbl>
    <w:p/>
    <w:p>
      <w:pPr>
        <w:spacing w:before="0" w:after="40"/>
        <w:jc w:val="center"/>
      </w:pPr>
      <w:r>
        <w:drawing>
          <wp:inline xmlns:a="http://schemas.openxmlformats.org/drawingml/2006/main" xmlns:pic="http://schemas.openxmlformats.org/drawingml/2006/picture">
            <wp:extent cx="9235440" cy="2554102"/>
            <wp:docPr id="4" name="Picture 4"/>
            <wp:cNvGraphicFramePr>
              <a:graphicFrameLocks noChangeAspect="1"/>
            </wp:cNvGraphicFramePr>
            <a:graphic>
              <a:graphicData uri="http://schemas.openxmlformats.org/drawingml/2006/picture">
                <pic:pic>
                  <pic:nvPicPr>
                    <pic:cNvPr id="0" name="process_quality.png"/>
                    <pic:cNvPicPr/>
                  </pic:nvPicPr>
                  <pic:blipFill>
                    <a:blip r:embed="rId14"/>
                    <a:stretch>
                      <a:fillRect/>
                    </a:stretch>
                  </pic:blipFill>
                  <pic:spPr>
                    <a:xfrm>
                      <a:off x="0" y="0"/>
                      <a:ext cx="9235440" cy="2554102"/>
                    </a:xfrm>
                    <a:prstGeom prst="rect"/>
                  </pic:spPr>
                </pic:pic>
              </a:graphicData>
            </a:graphic>
          </wp:inline>
        </w:drawing>
      </w:r>
    </w:p>
    <w:p>
      <w:r>
        <w:br w:type="page"/>
      </w:r>
    </w:p>
    <w:p>
      <w:pPr>
        <w:spacing w:before="80" w:after="80"/>
      </w:pPr>
      <w:r>
        <w:rPr>
          <w:rFonts w:ascii="Cambria" w:hAnsi="Cambria"/>
          <w:b/>
          <w:color w:val="ED7D31"/>
          <w:sz w:val="24"/>
        </w:rPr>
        <w:t>6. AUDIT, NONCONFORMITY &amp; CAPA CONTROL</w:t>
      </w:r>
    </w:p>
    <w:tbl>
      <w:tblPr>
        <w:tblStyle w:val="MediumGrid1-Accent6"/>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c>
          <w:tcPr>
            <w:tcW w:type="dxa" w:w="1512"/>
            <w:vAlign w:val="center"/>
          </w:tcPr>
          <w:p>
            <w:pPr>
              <w:spacing w:before="0" w:after="0"/>
              <w:jc w:val="center"/>
            </w:pPr>
            <w:r>
              <w:rPr>
                <w:rFonts w:ascii="Cambria" w:hAnsi="Cambria"/>
                <w:b/>
                <w:color w:val="222222"/>
                <w:sz w:val="13"/>
              </w:rPr>
              <w:t>Record ID</w:t>
            </w:r>
          </w:p>
        </w:tc>
        <w:tc>
          <w:tcPr>
            <w:tcW w:type="dxa" w:w="1800"/>
            <w:vAlign w:val="center"/>
          </w:tcPr>
          <w:p>
            <w:pPr>
              <w:spacing w:before="0" w:after="0"/>
              <w:jc w:val="center"/>
            </w:pPr>
            <w:r>
              <w:rPr>
                <w:rFonts w:ascii="Cambria" w:hAnsi="Cambria"/>
                <w:b/>
                <w:color w:val="222222"/>
                <w:sz w:val="13"/>
              </w:rPr>
              <w:t>Source</w:t>
            </w:r>
          </w:p>
        </w:tc>
        <w:tc>
          <w:tcPr>
            <w:tcW w:type="dxa" w:w="4680"/>
            <w:vAlign w:val="center"/>
          </w:tcPr>
          <w:p>
            <w:pPr>
              <w:spacing w:before="0" w:after="0"/>
              <w:jc w:val="center"/>
            </w:pPr>
            <w:r>
              <w:rPr>
                <w:rFonts w:ascii="Cambria" w:hAnsi="Cambria"/>
                <w:b/>
                <w:color w:val="222222"/>
                <w:sz w:val="13"/>
              </w:rPr>
              <w:t>Issue / Finding</w:t>
            </w:r>
          </w:p>
        </w:tc>
        <w:tc>
          <w:tcPr>
            <w:tcW w:type="dxa" w:w="2088"/>
            <w:vAlign w:val="center"/>
          </w:tcPr>
          <w:p>
            <w:pPr>
              <w:spacing w:before="0" w:after="0"/>
              <w:jc w:val="center"/>
            </w:pPr>
            <w:r>
              <w:rPr>
                <w:rFonts w:ascii="Cambria" w:hAnsi="Cambria"/>
                <w:b/>
                <w:color w:val="222222"/>
                <w:sz w:val="13"/>
              </w:rPr>
              <w:t>Owner</w:t>
            </w:r>
          </w:p>
        </w:tc>
        <w:tc>
          <w:tcPr>
            <w:tcW w:type="dxa" w:w="1080"/>
            <w:vAlign w:val="center"/>
          </w:tcPr>
          <w:p>
            <w:pPr>
              <w:spacing w:before="0" w:after="0"/>
              <w:jc w:val="center"/>
            </w:pPr>
            <w:r>
              <w:rPr>
                <w:rFonts w:ascii="Cambria" w:hAnsi="Cambria"/>
                <w:b/>
                <w:color w:val="222222"/>
                <w:sz w:val="13"/>
              </w:rPr>
              <w:t>Priority</w:t>
            </w:r>
          </w:p>
        </w:tc>
        <w:tc>
          <w:tcPr>
            <w:tcW w:type="dxa" w:w="1368"/>
            <w:vAlign w:val="center"/>
          </w:tcPr>
          <w:p>
            <w:pPr>
              <w:spacing w:before="0" w:after="0"/>
              <w:jc w:val="center"/>
            </w:pPr>
            <w:r>
              <w:rPr>
                <w:rFonts w:ascii="Cambria" w:hAnsi="Cambria"/>
                <w:b/>
                <w:color w:val="222222"/>
                <w:sz w:val="13"/>
              </w:rPr>
              <w:t>Due Date</w:t>
            </w:r>
          </w:p>
        </w:tc>
        <w:tc>
          <w:tcPr>
            <w:tcW w:type="dxa" w:w="1296"/>
            <w:vAlign w:val="center"/>
          </w:tcPr>
          <w:p>
            <w:pPr>
              <w:spacing w:before="0" w:after="0"/>
              <w:jc w:val="center"/>
            </w:pPr>
            <w:r>
              <w:rPr>
                <w:rFonts w:ascii="Cambria" w:hAnsi="Cambria"/>
                <w:b/>
                <w:color w:val="222222"/>
                <w:sz w:val="13"/>
              </w:rPr>
              <w:t>Status</w:t>
            </w:r>
          </w:p>
        </w:tc>
        <w:tc>
          <w:tcPr>
            <w:tcW w:type="dxa" w:w="1656"/>
            <w:vAlign w:val="center"/>
          </w:tcPr>
          <w:p>
            <w:pPr>
              <w:spacing w:before="0" w:after="0"/>
              <w:jc w:val="center"/>
            </w:pPr>
            <w:r>
              <w:rPr>
                <w:rFonts w:ascii="Cambria" w:hAnsi="Cambria"/>
                <w:b/>
                <w:color w:val="222222"/>
                <w:sz w:val="13"/>
              </w:rPr>
              <w:t>Effectiveness</w:t>
            </w:r>
          </w:p>
        </w:tc>
      </w:tr>
      <w:tr>
        <w:tc>
          <w:tcPr>
            <w:tcW w:type="dxa" w:w="1512"/>
            <w:vAlign w:val="center"/>
          </w:tcPr>
          <w:p>
            <w:pPr>
              <w:spacing w:before="0" w:after="0"/>
              <w:jc w:val="left"/>
            </w:pPr>
            <w:r>
              <w:rPr>
                <w:rFonts w:ascii="Cambria" w:hAnsi="Cambria"/>
                <w:b w:val="0"/>
                <w:color w:val="222222"/>
                <w:sz w:val="13"/>
              </w:rPr>
              <w:t>CAPA-1256</w:t>
            </w:r>
          </w:p>
        </w:tc>
        <w:tc>
          <w:tcPr>
            <w:tcW w:type="dxa" w:w="1800"/>
            <w:vAlign w:val="center"/>
          </w:tcPr>
          <w:p>
            <w:pPr>
              <w:spacing w:before="0" w:after="0"/>
              <w:jc w:val="left"/>
            </w:pPr>
            <w:r>
              <w:rPr>
                <w:rFonts w:ascii="Cambria" w:hAnsi="Cambria"/>
                <w:b w:val="0"/>
                <w:color w:val="222222"/>
                <w:sz w:val="13"/>
              </w:rPr>
              <w:t>Internal Audit</w:t>
            </w:r>
          </w:p>
        </w:tc>
        <w:tc>
          <w:tcPr>
            <w:tcW w:type="dxa" w:w="4680"/>
            <w:vAlign w:val="center"/>
          </w:tcPr>
          <w:p>
            <w:pPr>
              <w:spacing w:before="0" w:after="0"/>
              <w:jc w:val="left"/>
            </w:pPr>
            <w:r>
              <w:rPr>
                <w:rFonts w:ascii="Cambria" w:hAnsi="Cambria"/>
                <w:b w:val="0"/>
                <w:color w:val="222222"/>
                <w:sz w:val="13"/>
              </w:rPr>
              <w:t>Effectiveness verification overdue</w:t>
            </w:r>
          </w:p>
        </w:tc>
        <w:tc>
          <w:tcPr>
            <w:tcW w:type="dxa" w:w="2088"/>
            <w:vAlign w:val="center"/>
          </w:tcPr>
          <w:p>
            <w:pPr>
              <w:spacing w:before="0" w:after="0"/>
              <w:jc w:val="left"/>
            </w:pPr>
            <w:r>
              <w:rPr>
                <w:rFonts w:ascii="Cambria" w:hAnsi="Cambria"/>
                <w:b w:val="0"/>
                <w:color w:val="222222"/>
                <w:sz w:val="13"/>
              </w:rPr>
              <w:t>CAPA Manager</w:t>
            </w:r>
          </w:p>
        </w:tc>
        <w:tc>
          <w:tcPr>
            <w:tcW w:type="dxa" w:w="1080"/>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02, 2025</w:t>
            </w:r>
          </w:p>
        </w:tc>
        <w:tc>
          <w:tcPr>
            <w:tcW w:type="dxa" w:w="1296"/>
            <w:vAlign w:val="center"/>
          </w:tcPr>
          <w:p>
            <w:pPr>
              <w:spacing w:before="0" w:after="0"/>
              <w:jc w:val="left"/>
            </w:pPr>
            <w:r>
              <w:rPr>
                <w:rFonts w:ascii="Cambria" w:hAnsi="Cambria"/>
                <w:b w:val="0"/>
                <w:color w:val="222222"/>
                <w:sz w:val="13"/>
              </w:rPr>
              <w:t>Overdue</w:t>
            </w:r>
          </w:p>
        </w:tc>
        <w:tc>
          <w:tcPr>
            <w:tcW w:type="dxa" w:w="1656"/>
            <w:vAlign w:val="center"/>
          </w:tcPr>
          <w:p>
            <w:pPr>
              <w:spacing w:before="0" w:after="0"/>
              <w:jc w:val="left"/>
            </w:pPr>
            <w:r>
              <w:rPr>
                <w:rFonts w:ascii="Cambria" w:hAnsi="Cambria"/>
                <w:b w:val="0"/>
                <w:color w:val="222222"/>
                <w:sz w:val="13"/>
              </w:rPr>
              <w:t>Pending</w:t>
            </w:r>
          </w:p>
        </w:tc>
      </w:tr>
      <w:tr>
        <w:tc>
          <w:tcPr>
            <w:tcW w:type="dxa" w:w="1512"/>
            <w:vAlign w:val="center"/>
          </w:tcPr>
          <w:p>
            <w:pPr>
              <w:spacing w:before="0" w:after="0"/>
              <w:jc w:val="left"/>
            </w:pPr>
            <w:r>
              <w:rPr>
                <w:rFonts w:ascii="Cambria" w:hAnsi="Cambria"/>
                <w:b w:val="0"/>
                <w:color w:val="222222"/>
                <w:sz w:val="13"/>
              </w:rPr>
              <w:t>AUD-2025-017</w:t>
            </w:r>
          </w:p>
        </w:tc>
        <w:tc>
          <w:tcPr>
            <w:tcW w:type="dxa" w:w="1800"/>
            <w:vAlign w:val="center"/>
          </w:tcPr>
          <w:p>
            <w:pPr>
              <w:spacing w:before="0" w:after="0"/>
              <w:jc w:val="left"/>
            </w:pPr>
            <w:r>
              <w:rPr>
                <w:rFonts w:ascii="Cambria" w:hAnsi="Cambria"/>
                <w:b w:val="0"/>
                <w:color w:val="222222"/>
                <w:sz w:val="13"/>
              </w:rPr>
              <w:t>Supplier Audit</w:t>
            </w:r>
          </w:p>
        </w:tc>
        <w:tc>
          <w:tcPr>
            <w:tcW w:type="dxa" w:w="4680"/>
            <w:vAlign w:val="center"/>
          </w:tcPr>
          <w:p>
            <w:pPr>
              <w:spacing w:before="0" w:after="0"/>
              <w:jc w:val="left"/>
            </w:pPr>
            <w:r>
              <w:rPr>
                <w:rFonts w:ascii="Cambria" w:hAnsi="Cambria"/>
                <w:b w:val="0"/>
                <w:color w:val="222222"/>
                <w:sz w:val="13"/>
              </w:rPr>
              <w:t>Special-process control inconsistency</w:t>
            </w:r>
          </w:p>
        </w:tc>
        <w:tc>
          <w:tcPr>
            <w:tcW w:type="dxa" w:w="2088"/>
            <w:vAlign w:val="center"/>
          </w:tcPr>
          <w:p>
            <w:pPr>
              <w:spacing w:before="0" w:after="0"/>
              <w:jc w:val="left"/>
            </w:pPr>
            <w:r>
              <w:rPr>
                <w:rFonts w:ascii="Cambria" w:hAnsi="Cambria"/>
                <w:b w:val="0"/>
                <w:color w:val="222222"/>
                <w:sz w:val="13"/>
              </w:rPr>
              <w:t>Supplier Quality Lead</w:t>
            </w:r>
          </w:p>
        </w:tc>
        <w:tc>
          <w:tcPr>
            <w:tcW w:type="dxa" w:w="1080"/>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12, 2025</w:t>
            </w:r>
          </w:p>
        </w:tc>
        <w:tc>
          <w:tcPr>
            <w:tcW w:type="dxa" w:w="1296"/>
            <w:vAlign w:val="center"/>
          </w:tcPr>
          <w:p>
            <w:pPr>
              <w:spacing w:before="0" w:after="0"/>
              <w:jc w:val="left"/>
            </w:pPr>
            <w:r>
              <w:rPr>
                <w:rFonts w:ascii="Cambria" w:hAnsi="Cambria"/>
                <w:b w:val="0"/>
                <w:color w:val="222222"/>
                <w:sz w:val="13"/>
              </w:rPr>
              <w:t>In Progress</w:t>
            </w:r>
          </w:p>
        </w:tc>
        <w:tc>
          <w:tcPr>
            <w:tcW w:type="dxa" w:w="1656"/>
            <w:vAlign w:val="center"/>
          </w:tcPr>
          <w:p>
            <w:pPr>
              <w:spacing w:before="0" w:after="0"/>
              <w:jc w:val="left"/>
            </w:pPr>
            <w:r>
              <w:rPr>
                <w:rFonts w:ascii="Cambria" w:hAnsi="Cambria"/>
                <w:b w:val="0"/>
                <w:color w:val="222222"/>
                <w:sz w:val="13"/>
              </w:rPr>
              <w:t>Planned</w:t>
            </w:r>
          </w:p>
        </w:tc>
      </w:tr>
      <w:tr>
        <w:tc>
          <w:tcPr>
            <w:tcW w:type="dxa" w:w="1512"/>
            <w:vAlign w:val="center"/>
          </w:tcPr>
          <w:p>
            <w:pPr>
              <w:spacing w:before="0" w:after="0"/>
              <w:jc w:val="left"/>
            </w:pPr>
            <w:r>
              <w:rPr>
                <w:rFonts w:ascii="Cambria" w:hAnsi="Cambria"/>
                <w:b w:val="0"/>
                <w:color w:val="222222"/>
                <w:sz w:val="13"/>
              </w:rPr>
              <w:t>NC-2025-084</w:t>
            </w:r>
          </w:p>
        </w:tc>
        <w:tc>
          <w:tcPr>
            <w:tcW w:type="dxa" w:w="1800"/>
            <w:vAlign w:val="center"/>
          </w:tcPr>
          <w:p>
            <w:pPr>
              <w:spacing w:before="0" w:after="0"/>
              <w:jc w:val="left"/>
            </w:pPr>
            <w:r>
              <w:rPr>
                <w:rFonts w:ascii="Cambria" w:hAnsi="Cambria"/>
                <w:b w:val="0"/>
                <w:color w:val="222222"/>
                <w:sz w:val="13"/>
              </w:rPr>
              <w:t>Operations</w:t>
            </w:r>
          </w:p>
        </w:tc>
        <w:tc>
          <w:tcPr>
            <w:tcW w:type="dxa" w:w="4680"/>
            <w:vAlign w:val="center"/>
          </w:tcPr>
          <w:p>
            <w:pPr>
              <w:spacing w:before="0" w:after="0"/>
              <w:jc w:val="left"/>
            </w:pPr>
            <w:r>
              <w:rPr>
                <w:rFonts w:ascii="Cambria" w:hAnsi="Cambria"/>
                <w:b w:val="0"/>
                <w:color w:val="222222"/>
                <w:sz w:val="13"/>
              </w:rPr>
              <w:t>Repeated labeling error</w:t>
            </w:r>
          </w:p>
        </w:tc>
        <w:tc>
          <w:tcPr>
            <w:tcW w:type="dxa" w:w="2088"/>
            <w:vAlign w:val="center"/>
          </w:tcPr>
          <w:p>
            <w:pPr>
              <w:spacing w:before="0" w:after="0"/>
              <w:jc w:val="left"/>
            </w:pPr>
            <w:r>
              <w:rPr>
                <w:rFonts w:ascii="Cambria" w:hAnsi="Cambria"/>
                <w:b w:val="0"/>
                <w:color w:val="222222"/>
                <w:sz w:val="13"/>
              </w:rPr>
              <w:t>Operations Manager</w:t>
            </w:r>
          </w:p>
        </w:tc>
        <w:tc>
          <w:tcPr>
            <w:tcW w:type="dxa" w:w="1080"/>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15, 2025</w:t>
            </w:r>
          </w:p>
        </w:tc>
        <w:tc>
          <w:tcPr>
            <w:tcW w:type="dxa" w:w="1296"/>
            <w:vAlign w:val="center"/>
          </w:tcPr>
          <w:p>
            <w:pPr>
              <w:spacing w:before="0" w:after="0"/>
              <w:jc w:val="left"/>
            </w:pPr>
            <w:r>
              <w:rPr>
                <w:rFonts w:ascii="Cambria" w:hAnsi="Cambria"/>
                <w:b w:val="0"/>
                <w:color w:val="222222"/>
                <w:sz w:val="13"/>
              </w:rPr>
              <w:t>In Progress</w:t>
            </w:r>
          </w:p>
        </w:tc>
        <w:tc>
          <w:tcPr>
            <w:tcW w:type="dxa" w:w="1656"/>
            <w:vAlign w:val="center"/>
          </w:tcPr>
          <w:p>
            <w:pPr>
              <w:spacing w:before="0" w:after="0"/>
              <w:jc w:val="left"/>
            </w:pPr>
            <w:r>
              <w:rPr>
                <w:rFonts w:ascii="Cambria" w:hAnsi="Cambria"/>
                <w:b w:val="0"/>
                <w:color w:val="222222"/>
                <w:sz w:val="13"/>
              </w:rPr>
              <w:t>Pending</w:t>
            </w:r>
          </w:p>
        </w:tc>
      </w:tr>
      <w:tr>
        <w:tc>
          <w:tcPr>
            <w:tcW w:type="dxa" w:w="1512"/>
            <w:vAlign w:val="center"/>
          </w:tcPr>
          <w:p>
            <w:pPr>
              <w:spacing w:before="0" w:after="0"/>
              <w:jc w:val="left"/>
            </w:pPr>
            <w:r>
              <w:rPr>
                <w:rFonts w:ascii="Cambria" w:hAnsi="Cambria"/>
                <w:b w:val="0"/>
                <w:color w:val="222222"/>
                <w:sz w:val="13"/>
              </w:rPr>
              <w:t>CAPA-1262</w:t>
            </w:r>
          </w:p>
        </w:tc>
        <w:tc>
          <w:tcPr>
            <w:tcW w:type="dxa" w:w="1800"/>
            <w:vAlign w:val="center"/>
          </w:tcPr>
          <w:p>
            <w:pPr>
              <w:spacing w:before="0" w:after="0"/>
              <w:jc w:val="left"/>
            </w:pPr>
            <w:r>
              <w:rPr>
                <w:rFonts w:ascii="Cambria" w:hAnsi="Cambria"/>
                <w:b w:val="0"/>
                <w:color w:val="222222"/>
                <w:sz w:val="13"/>
              </w:rPr>
              <w:t>Customer Complaint</w:t>
            </w:r>
          </w:p>
        </w:tc>
        <w:tc>
          <w:tcPr>
            <w:tcW w:type="dxa" w:w="4680"/>
            <w:vAlign w:val="center"/>
          </w:tcPr>
          <w:p>
            <w:pPr>
              <w:spacing w:before="0" w:after="0"/>
              <w:jc w:val="left"/>
            </w:pPr>
            <w:r>
              <w:rPr>
                <w:rFonts w:ascii="Cambria" w:hAnsi="Cambria"/>
                <w:b w:val="0"/>
                <w:color w:val="222222"/>
                <w:sz w:val="13"/>
              </w:rPr>
              <w:t>Packaging damage recurrence</w:t>
            </w:r>
          </w:p>
        </w:tc>
        <w:tc>
          <w:tcPr>
            <w:tcW w:type="dxa" w:w="2088"/>
            <w:vAlign w:val="center"/>
          </w:tcPr>
          <w:p>
            <w:pPr>
              <w:spacing w:before="0" w:after="0"/>
              <w:jc w:val="left"/>
            </w:pPr>
            <w:r>
              <w:rPr>
                <w:rFonts w:ascii="Cambria" w:hAnsi="Cambria"/>
                <w:b w:val="0"/>
                <w:color w:val="222222"/>
                <w:sz w:val="13"/>
              </w:rPr>
              <w:t>Customer Quality Lead</w:t>
            </w:r>
          </w:p>
        </w:tc>
        <w:tc>
          <w:tcPr>
            <w:tcW w:type="dxa" w:w="1080"/>
            <w:vAlign w:val="center"/>
          </w:tcPr>
          <w:p>
            <w:pPr>
              <w:spacing w:before="0" w:after="0"/>
              <w:jc w:val="left"/>
            </w:pPr>
            <w:r>
              <w:rPr>
                <w:rFonts w:ascii="Cambria" w:hAnsi="Cambria"/>
                <w:b w:val="0"/>
                <w:color w:val="222222"/>
                <w:sz w:val="13"/>
              </w:rPr>
              <w:t>Medium</w:t>
            </w:r>
          </w:p>
        </w:tc>
        <w:tc>
          <w:tcPr>
            <w:tcW w:type="dxa" w:w="1368"/>
            <w:vAlign w:val="center"/>
          </w:tcPr>
          <w:p>
            <w:pPr>
              <w:spacing w:before="0" w:after="0"/>
              <w:jc w:val="left"/>
            </w:pPr>
            <w:r>
              <w:rPr>
                <w:rFonts w:ascii="Cambria" w:hAnsi="Cambria"/>
                <w:b w:val="0"/>
                <w:color w:val="222222"/>
                <w:sz w:val="13"/>
              </w:rPr>
              <w:t>Jun 20, 2025</w:t>
            </w:r>
          </w:p>
        </w:tc>
        <w:tc>
          <w:tcPr>
            <w:tcW w:type="dxa" w:w="1296"/>
            <w:vAlign w:val="center"/>
          </w:tcPr>
          <w:p>
            <w:pPr>
              <w:spacing w:before="0" w:after="0"/>
              <w:jc w:val="left"/>
            </w:pPr>
            <w:r>
              <w:rPr>
                <w:rFonts w:ascii="Cambria" w:hAnsi="Cambria"/>
                <w:b w:val="0"/>
                <w:color w:val="222222"/>
                <w:sz w:val="13"/>
              </w:rPr>
              <w:t>Open</w:t>
            </w:r>
          </w:p>
        </w:tc>
        <w:tc>
          <w:tcPr>
            <w:tcW w:type="dxa" w:w="1656"/>
            <w:vAlign w:val="center"/>
          </w:tcPr>
          <w:p>
            <w:pPr>
              <w:spacing w:before="0" w:after="0"/>
              <w:jc w:val="left"/>
            </w:pPr>
            <w:r>
              <w:rPr>
                <w:rFonts w:ascii="Cambria" w:hAnsi="Cambria"/>
                <w:b w:val="0"/>
                <w:color w:val="222222"/>
                <w:sz w:val="13"/>
              </w:rPr>
              <w:t>Not Started</w:t>
            </w:r>
          </w:p>
        </w:tc>
      </w:tr>
      <w:tr>
        <w:tc>
          <w:tcPr>
            <w:tcW w:type="dxa" w:w="1512"/>
            <w:vAlign w:val="center"/>
          </w:tcPr>
          <w:p>
            <w:pPr>
              <w:spacing w:before="0" w:after="0"/>
              <w:jc w:val="left"/>
            </w:pPr>
            <w:r>
              <w:rPr>
                <w:rFonts w:ascii="Cambria" w:hAnsi="Cambria"/>
                <w:b w:val="0"/>
                <w:color w:val="222222"/>
                <w:sz w:val="13"/>
              </w:rPr>
              <w:t>AUD-2025-019</w:t>
            </w:r>
          </w:p>
        </w:tc>
        <w:tc>
          <w:tcPr>
            <w:tcW w:type="dxa" w:w="1800"/>
            <w:vAlign w:val="center"/>
          </w:tcPr>
          <w:p>
            <w:pPr>
              <w:spacing w:before="0" w:after="0"/>
              <w:jc w:val="left"/>
            </w:pPr>
            <w:r>
              <w:rPr>
                <w:rFonts w:ascii="Cambria" w:hAnsi="Cambria"/>
                <w:b w:val="0"/>
                <w:color w:val="222222"/>
                <w:sz w:val="13"/>
              </w:rPr>
              <w:t>Internal Audit</w:t>
            </w:r>
          </w:p>
        </w:tc>
        <w:tc>
          <w:tcPr>
            <w:tcW w:type="dxa" w:w="4680"/>
            <w:vAlign w:val="center"/>
          </w:tcPr>
          <w:p>
            <w:pPr>
              <w:spacing w:before="0" w:after="0"/>
              <w:jc w:val="left"/>
            </w:pPr>
            <w:r>
              <w:rPr>
                <w:rFonts w:ascii="Cambria" w:hAnsi="Cambria"/>
                <w:b w:val="0"/>
                <w:color w:val="222222"/>
                <w:sz w:val="13"/>
              </w:rPr>
              <w:t>Training evidence incomplete</w:t>
            </w:r>
          </w:p>
        </w:tc>
        <w:tc>
          <w:tcPr>
            <w:tcW w:type="dxa" w:w="2088"/>
            <w:vAlign w:val="center"/>
          </w:tcPr>
          <w:p>
            <w:pPr>
              <w:spacing w:before="0" w:after="0"/>
              <w:jc w:val="left"/>
            </w:pPr>
            <w:r>
              <w:rPr>
                <w:rFonts w:ascii="Cambria" w:hAnsi="Cambria"/>
                <w:b w:val="0"/>
                <w:color w:val="222222"/>
                <w:sz w:val="13"/>
              </w:rPr>
              <w:t>L&amp;D Manager</w:t>
            </w:r>
          </w:p>
        </w:tc>
        <w:tc>
          <w:tcPr>
            <w:tcW w:type="dxa" w:w="1080"/>
            <w:vAlign w:val="center"/>
          </w:tcPr>
          <w:p>
            <w:pPr>
              <w:spacing w:before="0" w:after="0"/>
              <w:jc w:val="left"/>
            </w:pPr>
            <w:r>
              <w:rPr>
                <w:rFonts w:ascii="Cambria" w:hAnsi="Cambria"/>
                <w:b w:val="0"/>
                <w:color w:val="222222"/>
                <w:sz w:val="13"/>
              </w:rPr>
              <w:t>Medium</w:t>
            </w:r>
          </w:p>
        </w:tc>
        <w:tc>
          <w:tcPr>
            <w:tcW w:type="dxa" w:w="1368"/>
            <w:vAlign w:val="center"/>
          </w:tcPr>
          <w:p>
            <w:pPr>
              <w:spacing w:before="0" w:after="0"/>
              <w:jc w:val="left"/>
            </w:pPr>
            <w:r>
              <w:rPr>
                <w:rFonts w:ascii="Cambria" w:hAnsi="Cambria"/>
                <w:b w:val="0"/>
                <w:color w:val="222222"/>
                <w:sz w:val="13"/>
              </w:rPr>
              <w:t>Jun 25, 2025</w:t>
            </w:r>
          </w:p>
        </w:tc>
        <w:tc>
          <w:tcPr>
            <w:tcW w:type="dxa" w:w="1296"/>
            <w:vAlign w:val="center"/>
          </w:tcPr>
          <w:p>
            <w:pPr>
              <w:spacing w:before="0" w:after="0"/>
              <w:jc w:val="left"/>
            </w:pPr>
            <w:r>
              <w:rPr>
                <w:rFonts w:ascii="Cambria" w:hAnsi="Cambria"/>
                <w:b w:val="0"/>
                <w:color w:val="222222"/>
                <w:sz w:val="13"/>
              </w:rPr>
              <w:t>Open</w:t>
            </w:r>
          </w:p>
        </w:tc>
        <w:tc>
          <w:tcPr>
            <w:tcW w:type="dxa" w:w="1656"/>
            <w:vAlign w:val="center"/>
          </w:tcPr>
          <w:p>
            <w:pPr>
              <w:spacing w:before="0" w:after="0"/>
              <w:jc w:val="left"/>
            </w:pPr>
            <w:r>
              <w:rPr>
                <w:rFonts w:ascii="Cambria" w:hAnsi="Cambria"/>
                <w:b w:val="0"/>
                <w:color w:val="222222"/>
                <w:sz w:val="13"/>
              </w:rPr>
              <w:t>Not Started</w:t>
            </w:r>
          </w:p>
        </w:tc>
      </w:tr>
      <w:tr>
        <w:tc>
          <w:tcPr>
            <w:tcW w:type="dxa" w:w="1512"/>
            <w:vAlign w:val="center"/>
          </w:tcPr>
          <w:p>
            <w:pPr>
              <w:spacing w:before="0" w:after="0"/>
              <w:jc w:val="left"/>
            </w:pPr>
            <w:r>
              <w:rPr>
                <w:rFonts w:ascii="Cambria" w:hAnsi="Cambria"/>
                <w:b w:val="0"/>
                <w:color w:val="222222"/>
                <w:sz w:val="13"/>
              </w:rPr>
              <w:t>NC-2025-091</w:t>
            </w:r>
          </w:p>
        </w:tc>
        <w:tc>
          <w:tcPr>
            <w:tcW w:type="dxa" w:w="1800"/>
            <w:vAlign w:val="center"/>
          </w:tcPr>
          <w:p>
            <w:pPr>
              <w:spacing w:before="0" w:after="0"/>
              <w:jc w:val="left"/>
            </w:pPr>
            <w:r>
              <w:rPr>
                <w:rFonts w:ascii="Cambria" w:hAnsi="Cambria"/>
                <w:b w:val="0"/>
                <w:color w:val="222222"/>
                <w:sz w:val="13"/>
              </w:rPr>
              <w:t>Document Control</w:t>
            </w:r>
          </w:p>
        </w:tc>
        <w:tc>
          <w:tcPr>
            <w:tcW w:type="dxa" w:w="4680"/>
            <w:vAlign w:val="center"/>
          </w:tcPr>
          <w:p>
            <w:pPr>
              <w:spacing w:before="0" w:after="0"/>
              <w:jc w:val="left"/>
            </w:pPr>
            <w:r>
              <w:rPr>
                <w:rFonts w:ascii="Cambria" w:hAnsi="Cambria"/>
                <w:b w:val="0"/>
                <w:color w:val="222222"/>
                <w:sz w:val="13"/>
              </w:rPr>
              <w:t>Obsolete work instruction at point of use</w:t>
            </w:r>
          </w:p>
        </w:tc>
        <w:tc>
          <w:tcPr>
            <w:tcW w:type="dxa" w:w="2088"/>
            <w:vAlign w:val="center"/>
          </w:tcPr>
          <w:p>
            <w:pPr>
              <w:spacing w:before="0" w:after="0"/>
              <w:jc w:val="left"/>
            </w:pPr>
            <w:r>
              <w:rPr>
                <w:rFonts w:ascii="Cambria" w:hAnsi="Cambria"/>
                <w:b w:val="0"/>
                <w:color w:val="222222"/>
                <w:sz w:val="13"/>
              </w:rPr>
              <w:t>Document Control Lead</w:t>
            </w:r>
          </w:p>
        </w:tc>
        <w:tc>
          <w:tcPr>
            <w:tcW w:type="dxa" w:w="1080"/>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08, 2025</w:t>
            </w:r>
          </w:p>
        </w:tc>
        <w:tc>
          <w:tcPr>
            <w:tcW w:type="dxa" w:w="1296"/>
            <w:vAlign w:val="center"/>
          </w:tcPr>
          <w:p>
            <w:pPr>
              <w:spacing w:before="0" w:after="0"/>
              <w:jc w:val="left"/>
            </w:pPr>
            <w:r>
              <w:rPr>
                <w:rFonts w:ascii="Cambria" w:hAnsi="Cambria"/>
                <w:b w:val="0"/>
                <w:color w:val="222222"/>
                <w:sz w:val="13"/>
              </w:rPr>
              <w:t>Closed</w:t>
            </w:r>
          </w:p>
        </w:tc>
        <w:tc>
          <w:tcPr>
            <w:tcW w:type="dxa" w:w="1656"/>
            <w:vAlign w:val="center"/>
          </w:tcPr>
          <w:p>
            <w:pPr>
              <w:spacing w:before="0" w:after="0"/>
              <w:jc w:val="left"/>
            </w:pPr>
            <w:r>
              <w:rPr>
                <w:rFonts w:ascii="Cambria" w:hAnsi="Cambria"/>
                <w:b w:val="0"/>
                <w:color w:val="222222"/>
                <w:sz w:val="13"/>
              </w:rPr>
              <w:t>Effective</w:t>
            </w:r>
          </w:p>
        </w:tc>
      </w:tr>
    </w:tbl>
    <w:p>
      <w:r>
        <w:br w:type="page"/>
      </w:r>
    </w:p>
    <w:p>
      <w:pPr>
        <w:spacing w:before="80" w:after="80"/>
      </w:pPr>
      <w:r>
        <w:rPr>
          <w:rFonts w:ascii="Cambria" w:hAnsi="Cambria"/>
          <w:b/>
          <w:color w:val="ED7D31"/>
          <w:sz w:val="24"/>
        </w:rPr>
        <w:t>6A. ROOT CAUSE &amp; CAPA ANALYTICS</w:t>
      </w:r>
    </w:p>
    <w:p>
      <w:pPr>
        <w:spacing w:before="0" w:after="60"/>
        <w:jc w:val="center"/>
      </w:pPr>
      <w:r>
        <w:drawing>
          <wp:inline xmlns:a="http://schemas.openxmlformats.org/drawingml/2006/main" xmlns:pic="http://schemas.openxmlformats.org/drawingml/2006/picture">
            <wp:extent cx="9235440" cy="3679901"/>
            <wp:docPr id="5" name="Picture 5"/>
            <wp:cNvGraphicFramePr>
              <a:graphicFrameLocks noChangeAspect="1"/>
            </wp:cNvGraphicFramePr>
            <a:graphic>
              <a:graphicData uri="http://schemas.openxmlformats.org/drawingml/2006/picture">
                <pic:pic>
                  <pic:nvPicPr>
                    <pic:cNvPr id="0" name="root_cause_capa.png"/>
                    <pic:cNvPicPr/>
                  </pic:nvPicPr>
                  <pic:blipFill>
                    <a:blip r:embed="rId15"/>
                    <a:stretch>
                      <a:fillRect/>
                    </a:stretch>
                  </pic:blipFill>
                  <pic:spPr>
                    <a:xfrm>
                      <a:off x="0" y="0"/>
                      <a:ext cx="9235440" cy="3679901"/>
                    </a:xfrm>
                    <a:prstGeom prst="rect"/>
                  </pic:spPr>
                </pic:pic>
              </a:graphicData>
            </a:graphic>
          </wp:inline>
        </w:drawing>
      </w:r>
    </w:p>
    <w:p>
      <w:pPr>
        <w:spacing w:before="80" w:after="80"/>
      </w:pPr>
      <w:r>
        <w:rPr>
          <w:rFonts w:ascii="Cambria" w:hAnsi="Cambria"/>
          <w:b/>
          <w:color w:val="008C95"/>
          <w:sz w:val="24"/>
        </w:rPr>
        <w:t>CAPA Effectiveness Verification</w:t>
      </w:r>
    </w:p>
    <w:tbl>
      <w:tblPr>
        <w:tblStyle w:val="LightGrid-Accent4"/>
        <w:tblW w:type="auto" w:w="0"/>
        <w:jc w:val="center"/>
        <w:tblLayout w:type="autofit"/>
        <w:tblLook w:firstColumn="1" w:firstRow="1" w:lastColumn="0" w:lastRow="0" w:noHBand="0" w:noVBand="1" w:val="04A0"/>
      </w:tblPr>
      <w:tblGrid>
        <w:gridCol w:w="3564"/>
        <w:gridCol w:w="3564"/>
        <w:gridCol w:w="3564"/>
        <w:gridCol w:w="3564"/>
      </w:tblGrid>
      <w:tr>
        <w:tc>
          <w:tcPr>
            <w:tcW w:type="dxa" w:w="2880"/>
            <w:vAlign w:val="center"/>
          </w:tcPr>
          <w:p>
            <w:pPr>
              <w:spacing w:before="0" w:after="0"/>
              <w:jc w:val="center"/>
            </w:pPr>
            <w:r>
              <w:rPr>
                <w:rFonts w:ascii="Cambria" w:hAnsi="Cambria"/>
                <w:b/>
                <w:color w:val="222222"/>
                <w:sz w:val="14"/>
              </w:rPr>
              <w:t>Verification Method</w:t>
            </w:r>
          </w:p>
        </w:tc>
        <w:tc>
          <w:tcPr>
            <w:tcW w:type="dxa" w:w="5328"/>
            <w:vAlign w:val="center"/>
          </w:tcPr>
          <w:p>
            <w:pPr>
              <w:spacing w:before="0" w:after="0"/>
              <w:jc w:val="center"/>
            </w:pPr>
            <w:r>
              <w:rPr>
                <w:rFonts w:ascii="Cambria" w:hAnsi="Cambria"/>
                <w:b/>
                <w:color w:val="222222"/>
                <w:sz w:val="14"/>
              </w:rPr>
              <w:t>Suitable Application</w:t>
            </w:r>
          </w:p>
        </w:tc>
        <w:tc>
          <w:tcPr>
            <w:tcW w:type="dxa" w:w="4608"/>
            <w:vAlign w:val="center"/>
          </w:tcPr>
          <w:p>
            <w:pPr>
              <w:spacing w:before="0" w:after="0"/>
              <w:jc w:val="center"/>
            </w:pPr>
            <w:r>
              <w:rPr>
                <w:rFonts w:ascii="Cambria" w:hAnsi="Cambria"/>
                <w:b/>
                <w:color w:val="222222"/>
                <w:sz w:val="14"/>
              </w:rPr>
              <w:t>Evidence</w:t>
            </w:r>
          </w:p>
        </w:tc>
        <w:tc>
          <w:tcPr>
            <w:tcW w:type="dxa" w:w="2016"/>
            <w:vAlign w:val="center"/>
          </w:tcPr>
          <w:p>
            <w:pPr>
              <w:spacing w:before="0" w:after="0"/>
              <w:jc w:val="center"/>
            </w:pPr>
            <w:r>
              <w:rPr>
                <w:rFonts w:ascii="Cambria" w:hAnsi="Cambria"/>
                <w:b/>
                <w:color w:val="222222"/>
                <w:sz w:val="14"/>
              </w:rPr>
              <w:t>Typical Timing</w:t>
            </w:r>
          </w:p>
        </w:tc>
      </w:tr>
      <w:tr>
        <w:tc>
          <w:tcPr>
            <w:tcW w:type="dxa" w:w="2880"/>
            <w:vAlign w:val="center"/>
          </w:tcPr>
          <w:p>
            <w:pPr>
              <w:spacing w:before="0" w:after="0"/>
              <w:jc w:val="left"/>
            </w:pPr>
            <w:r>
              <w:rPr>
                <w:rFonts w:ascii="Cambria" w:hAnsi="Cambria"/>
                <w:b w:val="0"/>
                <w:color w:val="222222"/>
                <w:sz w:val="14"/>
              </w:rPr>
              <w:t>Performance Trend</w:t>
            </w:r>
          </w:p>
        </w:tc>
        <w:tc>
          <w:tcPr>
            <w:tcW w:type="dxa" w:w="5328"/>
            <w:vAlign w:val="center"/>
          </w:tcPr>
          <w:p>
            <w:pPr>
              <w:spacing w:before="0" w:after="0"/>
              <w:jc w:val="left"/>
            </w:pPr>
            <w:r>
              <w:rPr>
                <w:rFonts w:ascii="Cambria" w:hAnsi="Cambria"/>
                <w:b w:val="0"/>
                <w:color w:val="222222"/>
                <w:sz w:val="14"/>
              </w:rPr>
              <w:t>Recurring process, defect, complaint or yield issue</w:t>
            </w:r>
          </w:p>
        </w:tc>
        <w:tc>
          <w:tcPr>
            <w:tcW w:type="dxa" w:w="4608"/>
            <w:vAlign w:val="center"/>
          </w:tcPr>
          <w:p>
            <w:pPr>
              <w:spacing w:before="0" w:after="0"/>
              <w:jc w:val="left"/>
            </w:pPr>
            <w:r>
              <w:rPr>
                <w:rFonts w:ascii="Cambria" w:hAnsi="Cambria"/>
                <w:b w:val="0"/>
                <w:color w:val="222222"/>
                <w:sz w:val="14"/>
              </w:rPr>
              <w:t>Sustained KPI improvement and no recurrence</w:t>
            </w:r>
          </w:p>
        </w:tc>
        <w:tc>
          <w:tcPr>
            <w:tcW w:type="dxa" w:w="2016"/>
            <w:vAlign w:val="center"/>
          </w:tcPr>
          <w:p>
            <w:pPr>
              <w:spacing w:before="0" w:after="0"/>
              <w:jc w:val="left"/>
            </w:pPr>
            <w:r>
              <w:rPr>
                <w:rFonts w:ascii="Cambria" w:hAnsi="Cambria"/>
                <w:b w:val="0"/>
                <w:color w:val="222222"/>
                <w:sz w:val="14"/>
              </w:rPr>
              <w:t>30-90 days</w:t>
            </w:r>
          </w:p>
        </w:tc>
      </w:tr>
      <w:tr>
        <w:tc>
          <w:tcPr>
            <w:tcW w:type="dxa" w:w="2880"/>
            <w:vAlign w:val="center"/>
          </w:tcPr>
          <w:p>
            <w:pPr>
              <w:spacing w:before="0" w:after="0"/>
              <w:jc w:val="left"/>
            </w:pPr>
            <w:r>
              <w:rPr>
                <w:rFonts w:ascii="Cambria" w:hAnsi="Cambria"/>
                <w:b w:val="0"/>
                <w:color w:val="222222"/>
                <w:sz w:val="14"/>
              </w:rPr>
              <w:t>Audit / Observation</w:t>
            </w:r>
          </w:p>
        </w:tc>
        <w:tc>
          <w:tcPr>
            <w:tcW w:type="dxa" w:w="5328"/>
            <w:vAlign w:val="center"/>
          </w:tcPr>
          <w:p>
            <w:pPr>
              <w:spacing w:before="0" w:after="0"/>
              <w:jc w:val="left"/>
            </w:pPr>
            <w:r>
              <w:rPr>
                <w:rFonts w:ascii="Cambria" w:hAnsi="Cambria"/>
                <w:b w:val="0"/>
                <w:color w:val="222222"/>
                <w:sz w:val="14"/>
              </w:rPr>
              <w:t>Procedure, behavior, document or control implementation</w:t>
            </w:r>
          </w:p>
        </w:tc>
        <w:tc>
          <w:tcPr>
            <w:tcW w:type="dxa" w:w="4608"/>
            <w:vAlign w:val="center"/>
          </w:tcPr>
          <w:p>
            <w:pPr>
              <w:spacing w:before="0" w:after="0"/>
              <w:jc w:val="left"/>
            </w:pPr>
            <w:r>
              <w:rPr>
                <w:rFonts w:ascii="Cambria" w:hAnsi="Cambria"/>
                <w:b w:val="0"/>
                <w:color w:val="222222"/>
                <w:sz w:val="14"/>
              </w:rPr>
              <w:t>Audit sample or supervisor observation</w:t>
            </w:r>
          </w:p>
        </w:tc>
        <w:tc>
          <w:tcPr>
            <w:tcW w:type="dxa" w:w="2016"/>
            <w:vAlign w:val="center"/>
          </w:tcPr>
          <w:p>
            <w:pPr>
              <w:spacing w:before="0" w:after="0"/>
              <w:jc w:val="left"/>
            </w:pPr>
            <w:r>
              <w:rPr>
                <w:rFonts w:ascii="Cambria" w:hAnsi="Cambria"/>
                <w:b w:val="0"/>
                <w:color w:val="222222"/>
                <w:sz w:val="14"/>
              </w:rPr>
              <w:t>30-60 days</w:t>
            </w:r>
          </w:p>
        </w:tc>
      </w:tr>
      <w:tr>
        <w:tc>
          <w:tcPr>
            <w:tcW w:type="dxa" w:w="2880"/>
            <w:vAlign w:val="center"/>
          </w:tcPr>
          <w:p>
            <w:pPr>
              <w:spacing w:before="0" w:after="0"/>
              <w:jc w:val="left"/>
            </w:pPr>
            <w:r>
              <w:rPr>
                <w:rFonts w:ascii="Cambria" w:hAnsi="Cambria"/>
                <w:b w:val="0"/>
                <w:color w:val="222222"/>
                <w:sz w:val="14"/>
              </w:rPr>
              <w:t>Validation / Test</w:t>
            </w:r>
          </w:p>
        </w:tc>
        <w:tc>
          <w:tcPr>
            <w:tcW w:type="dxa" w:w="5328"/>
            <w:vAlign w:val="center"/>
          </w:tcPr>
          <w:p>
            <w:pPr>
              <w:spacing w:before="0" w:after="0"/>
              <w:jc w:val="left"/>
            </w:pPr>
            <w:r>
              <w:rPr>
                <w:rFonts w:ascii="Cambria" w:hAnsi="Cambria"/>
                <w:b w:val="0"/>
                <w:color w:val="222222"/>
                <w:sz w:val="14"/>
              </w:rPr>
              <w:t>Technical, software, equipment or product correction</w:t>
            </w:r>
          </w:p>
        </w:tc>
        <w:tc>
          <w:tcPr>
            <w:tcW w:type="dxa" w:w="4608"/>
            <w:vAlign w:val="center"/>
          </w:tcPr>
          <w:p>
            <w:pPr>
              <w:spacing w:before="0" w:after="0"/>
              <w:jc w:val="left"/>
            </w:pPr>
            <w:r>
              <w:rPr>
                <w:rFonts w:ascii="Cambria" w:hAnsi="Cambria"/>
                <w:b w:val="0"/>
                <w:color w:val="222222"/>
                <w:sz w:val="14"/>
              </w:rPr>
              <w:t>Approved validation or test result</w:t>
            </w:r>
          </w:p>
        </w:tc>
        <w:tc>
          <w:tcPr>
            <w:tcW w:type="dxa" w:w="2016"/>
            <w:vAlign w:val="center"/>
          </w:tcPr>
          <w:p>
            <w:pPr>
              <w:spacing w:before="0" w:after="0"/>
              <w:jc w:val="left"/>
            </w:pPr>
            <w:r>
              <w:rPr>
                <w:rFonts w:ascii="Cambria" w:hAnsi="Cambria"/>
                <w:b w:val="0"/>
                <w:color w:val="222222"/>
                <w:sz w:val="14"/>
              </w:rPr>
              <w:t>At implementation / defined interval</w:t>
            </w:r>
          </w:p>
        </w:tc>
      </w:tr>
      <w:tr>
        <w:tc>
          <w:tcPr>
            <w:tcW w:type="dxa" w:w="2880"/>
            <w:vAlign w:val="center"/>
          </w:tcPr>
          <w:p>
            <w:pPr>
              <w:spacing w:before="0" w:after="0"/>
              <w:jc w:val="left"/>
            </w:pPr>
            <w:r>
              <w:rPr>
                <w:rFonts w:ascii="Cambria" w:hAnsi="Cambria"/>
                <w:b w:val="0"/>
                <w:color w:val="222222"/>
                <w:sz w:val="14"/>
              </w:rPr>
              <w:t>Customer / Supplier Confirmation</w:t>
            </w:r>
          </w:p>
        </w:tc>
        <w:tc>
          <w:tcPr>
            <w:tcW w:type="dxa" w:w="5328"/>
            <w:vAlign w:val="center"/>
          </w:tcPr>
          <w:p>
            <w:pPr>
              <w:spacing w:before="0" w:after="0"/>
              <w:jc w:val="left"/>
            </w:pPr>
            <w:r>
              <w:rPr>
                <w:rFonts w:ascii="Cambria" w:hAnsi="Cambria"/>
                <w:b w:val="0"/>
                <w:color w:val="222222"/>
                <w:sz w:val="14"/>
              </w:rPr>
              <w:t>External complaint or supplier action</w:t>
            </w:r>
          </w:p>
        </w:tc>
        <w:tc>
          <w:tcPr>
            <w:tcW w:type="dxa" w:w="4608"/>
            <w:vAlign w:val="center"/>
          </w:tcPr>
          <w:p>
            <w:pPr>
              <w:spacing w:before="0" w:after="0"/>
              <w:jc w:val="left"/>
            </w:pPr>
            <w:r>
              <w:rPr>
                <w:rFonts w:ascii="Cambria" w:hAnsi="Cambria"/>
                <w:b w:val="0"/>
                <w:color w:val="222222"/>
                <w:sz w:val="14"/>
              </w:rPr>
              <w:t>Customer feedback or supplier performance result</w:t>
            </w:r>
          </w:p>
        </w:tc>
        <w:tc>
          <w:tcPr>
            <w:tcW w:type="dxa" w:w="2016"/>
            <w:vAlign w:val="center"/>
          </w:tcPr>
          <w:p>
            <w:pPr>
              <w:spacing w:before="0" w:after="0"/>
              <w:jc w:val="left"/>
            </w:pPr>
            <w:r>
              <w:rPr>
                <w:rFonts w:ascii="Cambria" w:hAnsi="Cambria"/>
                <w:b w:val="0"/>
                <w:color w:val="222222"/>
                <w:sz w:val="14"/>
              </w:rPr>
              <w:t>Next delivery / review cycle</w:t>
            </w:r>
          </w:p>
        </w:tc>
      </w:tr>
    </w:tbl>
    <w:p>
      <w:r>
        <w:br w:type="page"/>
      </w:r>
    </w:p>
    <w:p>
      <w:pPr>
        <w:spacing w:before="80" w:after="80"/>
      </w:pPr>
      <w:r>
        <w:rPr>
          <w:rFonts w:ascii="Cambria" w:hAnsi="Cambria"/>
          <w:b/>
          <w:color w:val="C00000"/>
          <w:sz w:val="24"/>
        </w:rPr>
        <w:t>7. RISK, COMPETENCE, SUPPLIER &amp; CHANGE CONTROL</w:t>
      </w:r>
    </w:p>
    <w:p>
      <w:pPr>
        <w:spacing w:before="0" w:after="60"/>
        <w:jc w:val="center"/>
      </w:pPr>
      <w:r>
        <w:drawing>
          <wp:inline xmlns:a="http://schemas.openxmlformats.org/drawingml/2006/main" xmlns:pic="http://schemas.openxmlformats.org/drawingml/2006/picture">
            <wp:extent cx="9235440" cy="3679901"/>
            <wp:docPr id="6" name="Picture 6"/>
            <wp:cNvGraphicFramePr>
              <a:graphicFrameLocks noChangeAspect="1"/>
            </wp:cNvGraphicFramePr>
            <a:graphic>
              <a:graphicData uri="http://schemas.openxmlformats.org/drawingml/2006/picture">
                <pic:pic>
                  <pic:nvPicPr>
                    <pic:cNvPr id="0" name="risk_training.png"/>
                    <pic:cNvPicPr/>
                  </pic:nvPicPr>
                  <pic:blipFill>
                    <a:blip r:embed="rId16"/>
                    <a:stretch>
                      <a:fillRect/>
                    </a:stretch>
                  </pic:blipFill>
                  <pic:spPr>
                    <a:xfrm>
                      <a:off x="0" y="0"/>
                      <a:ext cx="9235440" cy="3679901"/>
                    </a:xfrm>
                    <a:prstGeom prst="rect"/>
                  </pic:spPr>
                </pic:pic>
              </a:graphicData>
            </a:graphic>
          </wp:inline>
        </w:drawing>
      </w:r>
    </w:p>
    <w:p>
      <w:r>
        <w:br w:type="page"/>
      </w:r>
    </w:p>
    <w:p>
      <w:pPr>
        <w:spacing w:before="80" w:after="80"/>
      </w:pPr>
      <w:r>
        <w:rPr>
          <w:rFonts w:ascii="Cambria" w:hAnsi="Cambria"/>
          <w:b/>
          <w:color w:val="C00000"/>
          <w:sz w:val="24"/>
        </w:rPr>
        <w:t>7A. RISK &amp; CONTROL REGISTER</w:t>
      </w:r>
    </w:p>
    <w:tbl>
      <w:tblPr>
        <w:tblStyle w:val="ColorfulGrid-Accent2"/>
        <w:tblW w:type="auto" w:w="0"/>
        <w:jc w:val="center"/>
        <w:tblLayout w:type="autofit"/>
        <w:tblLook w:firstColumn="1" w:firstRow="1" w:lastColumn="0" w:lastRow="0" w:noHBand="0" w:noVBand="1" w:val="04A0"/>
      </w:tblPr>
      <w:tblGrid>
        <w:gridCol w:w="2851"/>
        <w:gridCol w:w="2851"/>
        <w:gridCol w:w="2851"/>
        <w:gridCol w:w="2851"/>
        <w:gridCol w:w="2851"/>
      </w:tblGrid>
      <w:tr>
        <w:tc>
          <w:tcPr>
            <w:tcW w:type="dxa" w:w="2592"/>
            <w:vAlign w:val="center"/>
          </w:tcPr>
          <w:p>
            <w:pPr>
              <w:spacing w:before="0" w:after="0"/>
              <w:jc w:val="center"/>
            </w:pPr>
            <w:r>
              <w:rPr>
                <w:rFonts w:ascii="Cambria" w:hAnsi="Cambria"/>
                <w:b/>
                <w:color w:val="222222"/>
                <w:sz w:val="14"/>
              </w:rPr>
              <w:t>Control Domain</w:t>
            </w:r>
          </w:p>
        </w:tc>
        <w:tc>
          <w:tcPr>
            <w:tcW w:type="dxa" w:w="4464"/>
            <w:vAlign w:val="center"/>
          </w:tcPr>
          <w:p>
            <w:pPr>
              <w:spacing w:before="0" w:after="0"/>
              <w:jc w:val="center"/>
            </w:pPr>
            <w:r>
              <w:rPr>
                <w:rFonts w:ascii="Cambria" w:hAnsi="Cambria"/>
                <w:b/>
                <w:color w:val="222222"/>
                <w:sz w:val="14"/>
              </w:rPr>
              <w:t>Current Exposure</w:t>
            </w:r>
          </w:p>
        </w:tc>
        <w:tc>
          <w:tcPr>
            <w:tcW w:type="dxa" w:w="2448"/>
            <w:vAlign w:val="center"/>
          </w:tcPr>
          <w:p>
            <w:pPr>
              <w:spacing w:before="0" w:after="0"/>
              <w:jc w:val="center"/>
            </w:pPr>
            <w:r>
              <w:rPr>
                <w:rFonts w:ascii="Cambria" w:hAnsi="Cambria"/>
                <w:b/>
                <w:color w:val="222222"/>
                <w:sz w:val="14"/>
              </w:rPr>
              <w:t>Owner</w:t>
            </w:r>
          </w:p>
        </w:tc>
        <w:tc>
          <w:tcPr>
            <w:tcW w:type="dxa" w:w="1296"/>
            <w:vAlign w:val="center"/>
          </w:tcPr>
          <w:p>
            <w:pPr>
              <w:spacing w:before="0" w:after="0"/>
              <w:jc w:val="center"/>
            </w:pPr>
            <w:r>
              <w:rPr>
                <w:rFonts w:ascii="Cambria" w:hAnsi="Cambria"/>
                <w:b/>
                <w:color w:val="222222"/>
                <w:sz w:val="14"/>
              </w:rPr>
              <w:t>Status</w:t>
            </w:r>
          </w:p>
        </w:tc>
        <w:tc>
          <w:tcPr>
            <w:tcW w:type="dxa" w:w="4752"/>
            <w:vAlign w:val="center"/>
          </w:tcPr>
          <w:p>
            <w:pPr>
              <w:spacing w:before="0" w:after="0"/>
              <w:jc w:val="center"/>
            </w:pPr>
            <w:r>
              <w:rPr>
                <w:rFonts w:ascii="Cambria" w:hAnsi="Cambria"/>
                <w:b/>
                <w:color w:val="222222"/>
                <w:sz w:val="14"/>
              </w:rPr>
              <w:t>Key Control / Action</w:t>
            </w:r>
          </w:p>
        </w:tc>
      </w:tr>
      <w:tr>
        <w:tc>
          <w:tcPr>
            <w:tcW w:type="dxa" w:w="2592"/>
            <w:vAlign w:val="center"/>
          </w:tcPr>
          <w:p>
            <w:pPr>
              <w:spacing w:before="0" w:after="0"/>
              <w:jc w:val="left"/>
            </w:pPr>
            <w:r>
              <w:rPr>
                <w:rFonts w:ascii="Cambria" w:hAnsi="Cambria"/>
                <w:b w:val="0"/>
                <w:color w:val="222222"/>
                <w:sz w:val="14"/>
              </w:rPr>
              <w:t>Regulatory and Compliance</w:t>
            </w:r>
          </w:p>
        </w:tc>
        <w:tc>
          <w:tcPr>
            <w:tcW w:type="dxa" w:w="4464"/>
            <w:vAlign w:val="center"/>
          </w:tcPr>
          <w:p>
            <w:pPr>
              <w:spacing w:before="0" w:after="0"/>
              <w:jc w:val="left"/>
            </w:pPr>
            <w:r>
              <w:rPr>
                <w:rFonts w:ascii="Cambria" w:hAnsi="Cambria"/>
                <w:b w:val="0"/>
                <w:color w:val="222222"/>
                <w:sz w:val="14"/>
              </w:rPr>
              <w:t>Labeling regulation change</w:t>
            </w:r>
          </w:p>
        </w:tc>
        <w:tc>
          <w:tcPr>
            <w:tcW w:type="dxa" w:w="2448"/>
            <w:vAlign w:val="center"/>
          </w:tcPr>
          <w:p>
            <w:pPr>
              <w:spacing w:before="0" w:after="0"/>
              <w:jc w:val="left"/>
            </w:pPr>
            <w:r>
              <w:rPr>
                <w:rFonts w:ascii="Cambria" w:hAnsi="Cambria"/>
                <w:b w:val="0"/>
                <w:color w:val="222222"/>
                <w:sz w:val="14"/>
              </w:rPr>
              <w:t>Compliance Director</w:t>
            </w:r>
          </w:p>
        </w:tc>
        <w:tc>
          <w:tcPr>
            <w:tcW w:type="dxa" w:w="1296"/>
            <w:vAlign w:val="center"/>
          </w:tcPr>
          <w:p>
            <w:pPr>
              <w:spacing w:before="0" w:after="0"/>
              <w:jc w:val="left"/>
            </w:pPr>
            <w:r>
              <w:rPr>
                <w:rFonts w:ascii="Cambria" w:hAnsi="Cambria"/>
                <w:b w:val="0"/>
                <w:color w:val="222222"/>
                <w:sz w:val="14"/>
              </w:rPr>
              <w:t>High</w:t>
            </w:r>
          </w:p>
        </w:tc>
        <w:tc>
          <w:tcPr>
            <w:tcW w:type="dxa" w:w="4752"/>
            <w:vAlign w:val="center"/>
          </w:tcPr>
          <w:p>
            <w:pPr>
              <w:spacing w:before="0" w:after="0"/>
              <w:jc w:val="left"/>
            </w:pPr>
            <w:r>
              <w:rPr>
                <w:rFonts w:ascii="Cambria" w:hAnsi="Cambria"/>
                <w:b w:val="0"/>
                <w:color w:val="222222"/>
                <w:sz w:val="14"/>
              </w:rPr>
              <w:t>Approve change package and impacted training</w:t>
            </w:r>
          </w:p>
        </w:tc>
      </w:tr>
      <w:tr>
        <w:tc>
          <w:tcPr>
            <w:tcW w:type="dxa" w:w="2592"/>
            <w:vAlign w:val="center"/>
          </w:tcPr>
          <w:p>
            <w:pPr>
              <w:spacing w:before="0" w:after="0"/>
              <w:jc w:val="left"/>
            </w:pPr>
            <w:r>
              <w:rPr>
                <w:rFonts w:ascii="Cambria" w:hAnsi="Cambria"/>
                <w:b w:val="0"/>
                <w:color w:val="222222"/>
                <w:sz w:val="14"/>
              </w:rPr>
              <w:t>Supplier Quality</w:t>
            </w:r>
          </w:p>
        </w:tc>
        <w:tc>
          <w:tcPr>
            <w:tcW w:type="dxa" w:w="4464"/>
            <w:vAlign w:val="center"/>
          </w:tcPr>
          <w:p>
            <w:pPr>
              <w:spacing w:before="0" w:after="0"/>
              <w:jc w:val="left"/>
            </w:pPr>
            <w:r>
              <w:rPr>
                <w:rFonts w:ascii="Cambria" w:hAnsi="Cambria"/>
                <w:b w:val="0"/>
                <w:color w:val="222222"/>
                <w:sz w:val="14"/>
              </w:rPr>
              <w:t>Two strategic suppliers below target</w:t>
            </w:r>
          </w:p>
        </w:tc>
        <w:tc>
          <w:tcPr>
            <w:tcW w:type="dxa" w:w="2448"/>
            <w:vAlign w:val="center"/>
          </w:tcPr>
          <w:p>
            <w:pPr>
              <w:spacing w:before="0" w:after="0"/>
              <w:jc w:val="left"/>
            </w:pPr>
            <w:r>
              <w:rPr>
                <w:rFonts w:ascii="Cambria" w:hAnsi="Cambria"/>
                <w:b w:val="0"/>
                <w:color w:val="222222"/>
                <w:sz w:val="14"/>
              </w:rPr>
              <w:t>Supply Chain Director</w:t>
            </w:r>
          </w:p>
        </w:tc>
        <w:tc>
          <w:tcPr>
            <w:tcW w:type="dxa" w:w="1296"/>
            <w:vAlign w:val="center"/>
          </w:tcPr>
          <w:p>
            <w:pPr>
              <w:spacing w:before="0" w:after="0"/>
              <w:jc w:val="left"/>
            </w:pPr>
            <w:r>
              <w:rPr>
                <w:rFonts w:ascii="Cambria" w:hAnsi="Cambria"/>
                <w:b w:val="0"/>
                <w:color w:val="222222"/>
                <w:sz w:val="14"/>
              </w:rPr>
              <w:t>High</w:t>
            </w:r>
          </w:p>
        </w:tc>
        <w:tc>
          <w:tcPr>
            <w:tcW w:type="dxa" w:w="4752"/>
            <w:vAlign w:val="center"/>
          </w:tcPr>
          <w:p>
            <w:pPr>
              <w:spacing w:before="0" w:after="0"/>
              <w:jc w:val="left"/>
            </w:pPr>
            <w:r>
              <w:rPr>
                <w:rFonts w:ascii="Cambria" w:hAnsi="Cambria"/>
                <w:b w:val="0"/>
                <w:color w:val="222222"/>
                <w:sz w:val="14"/>
              </w:rPr>
              <w:t>Supplier CAPA, audit and contingency sourcing</w:t>
            </w:r>
          </w:p>
        </w:tc>
      </w:tr>
      <w:tr>
        <w:tc>
          <w:tcPr>
            <w:tcW w:type="dxa" w:w="2592"/>
            <w:vAlign w:val="center"/>
          </w:tcPr>
          <w:p>
            <w:pPr>
              <w:spacing w:before="0" w:after="0"/>
              <w:jc w:val="left"/>
            </w:pPr>
            <w:r>
              <w:rPr>
                <w:rFonts w:ascii="Cambria" w:hAnsi="Cambria"/>
                <w:b w:val="0"/>
                <w:color w:val="222222"/>
                <w:sz w:val="14"/>
              </w:rPr>
              <w:t>Information Security</w:t>
            </w:r>
          </w:p>
        </w:tc>
        <w:tc>
          <w:tcPr>
            <w:tcW w:type="dxa" w:w="4464"/>
            <w:vAlign w:val="center"/>
          </w:tcPr>
          <w:p>
            <w:pPr>
              <w:spacing w:before="0" w:after="0"/>
              <w:jc w:val="left"/>
            </w:pPr>
            <w:r>
              <w:rPr>
                <w:rFonts w:ascii="Cambria" w:hAnsi="Cambria"/>
                <w:b w:val="0"/>
                <w:color w:val="222222"/>
                <w:sz w:val="14"/>
              </w:rPr>
              <w:t>Controlled QMS data and access risks</w:t>
            </w:r>
          </w:p>
        </w:tc>
        <w:tc>
          <w:tcPr>
            <w:tcW w:type="dxa" w:w="2448"/>
            <w:vAlign w:val="center"/>
          </w:tcPr>
          <w:p>
            <w:pPr>
              <w:spacing w:before="0" w:after="0"/>
              <w:jc w:val="left"/>
            </w:pPr>
            <w:r>
              <w:rPr>
                <w:rFonts w:ascii="Cambria" w:hAnsi="Cambria"/>
                <w:b w:val="0"/>
                <w:color w:val="222222"/>
                <w:sz w:val="14"/>
              </w:rPr>
              <w:t>CISO</w:t>
            </w:r>
          </w:p>
        </w:tc>
        <w:tc>
          <w:tcPr>
            <w:tcW w:type="dxa" w:w="1296"/>
            <w:vAlign w:val="center"/>
          </w:tcPr>
          <w:p>
            <w:pPr>
              <w:spacing w:before="0" w:after="0"/>
              <w:jc w:val="left"/>
            </w:pPr>
            <w:r>
              <w:rPr>
                <w:rFonts w:ascii="Cambria" w:hAnsi="Cambria"/>
                <w:b w:val="0"/>
                <w:color w:val="222222"/>
                <w:sz w:val="14"/>
              </w:rPr>
              <w:t>Moderate</w:t>
            </w:r>
          </w:p>
        </w:tc>
        <w:tc>
          <w:tcPr>
            <w:tcW w:type="dxa" w:w="4752"/>
            <w:vAlign w:val="center"/>
          </w:tcPr>
          <w:p>
            <w:pPr>
              <w:spacing w:before="0" w:after="0"/>
              <w:jc w:val="left"/>
            </w:pPr>
            <w:r>
              <w:rPr>
                <w:rFonts w:ascii="Cambria" w:hAnsi="Cambria"/>
                <w:b w:val="0"/>
                <w:color w:val="222222"/>
                <w:sz w:val="14"/>
              </w:rPr>
              <w:t>Access review, backup and incident exercise</w:t>
            </w:r>
          </w:p>
        </w:tc>
      </w:tr>
      <w:tr>
        <w:tc>
          <w:tcPr>
            <w:tcW w:type="dxa" w:w="2592"/>
            <w:vAlign w:val="center"/>
          </w:tcPr>
          <w:p>
            <w:pPr>
              <w:spacing w:before="0" w:after="0"/>
              <w:jc w:val="left"/>
            </w:pPr>
            <w:r>
              <w:rPr>
                <w:rFonts w:ascii="Cambria" w:hAnsi="Cambria"/>
                <w:b w:val="0"/>
                <w:color w:val="222222"/>
                <w:sz w:val="14"/>
              </w:rPr>
              <w:t>Competence</w:t>
            </w:r>
          </w:p>
        </w:tc>
        <w:tc>
          <w:tcPr>
            <w:tcW w:type="dxa" w:w="4464"/>
            <w:vAlign w:val="center"/>
          </w:tcPr>
          <w:p>
            <w:pPr>
              <w:spacing w:before="0" w:after="0"/>
              <w:jc w:val="left"/>
            </w:pPr>
            <w:r>
              <w:rPr>
                <w:rFonts w:ascii="Cambria" w:hAnsi="Cambria"/>
                <w:b w:val="0"/>
                <w:color w:val="222222"/>
                <w:sz w:val="14"/>
              </w:rPr>
              <w:t>RCA and audit capability gaps</w:t>
            </w:r>
          </w:p>
        </w:tc>
        <w:tc>
          <w:tcPr>
            <w:tcW w:type="dxa" w:w="2448"/>
            <w:vAlign w:val="center"/>
          </w:tcPr>
          <w:p>
            <w:pPr>
              <w:spacing w:before="0" w:after="0"/>
              <w:jc w:val="left"/>
            </w:pPr>
            <w:r>
              <w:rPr>
                <w:rFonts w:ascii="Cambria" w:hAnsi="Cambria"/>
                <w:b w:val="0"/>
                <w:color w:val="222222"/>
                <w:sz w:val="14"/>
              </w:rPr>
              <w:t>HR / Quality</w:t>
            </w:r>
          </w:p>
        </w:tc>
        <w:tc>
          <w:tcPr>
            <w:tcW w:type="dxa" w:w="1296"/>
            <w:vAlign w:val="center"/>
          </w:tcPr>
          <w:p>
            <w:pPr>
              <w:spacing w:before="0" w:after="0"/>
              <w:jc w:val="left"/>
            </w:pPr>
            <w:r>
              <w:rPr>
                <w:rFonts w:ascii="Cambria" w:hAnsi="Cambria"/>
                <w:b w:val="0"/>
                <w:color w:val="222222"/>
                <w:sz w:val="14"/>
              </w:rPr>
              <w:t>Moderate</w:t>
            </w:r>
          </w:p>
        </w:tc>
        <w:tc>
          <w:tcPr>
            <w:tcW w:type="dxa" w:w="4752"/>
            <w:vAlign w:val="center"/>
          </w:tcPr>
          <w:p>
            <w:pPr>
              <w:spacing w:before="0" w:after="0"/>
              <w:jc w:val="left"/>
            </w:pPr>
            <w:r>
              <w:rPr>
                <w:rFonts w:ascii="Cambria" w:hAnsi="Cambria"/>
                <w:b w:val="0"/>
                <w:color w:val="222222"/>
                <w:sz w:val="14"/>
              </w:rPr>
              <w:t>Targeted training and observed qualification</w:t>
            </w:r>
          </w:p>
        </w:tc>
      </w:tr>
      <w:tr>
        <w:tc>
          <w:tcPr>
            <w:tcW w:type="dxa" w:w="2592"/>
            <w:vAlign w:val="center"/>
          </w:tcPr>
          <w:p>
            <w:pPr>
              <w:spacing w:before="0" w:after="0"/>
              <w:jc w:val="left"/>
            </w:pPr>
            <w:r>
              <w:rPr>
                <w:rFonts w:ascii="Cambria" w:hAnsi="Cambria"/>
                <w:b w:val="0"/>
                <w:color w:val="222222"/>
                <w:sz w:val="14"/>
              </w:rPr>
              <w:t>Change Management</w:t>
            </w:r>
          </w:p>
        </w:tc>
        <w:tc>
          <w:tcPr>
            <w:tcW w:type="dxa" w:w="4464"/>
            <w:vAlign w:val="center"/>
          </w:tcPr>
          <w:p>
            <w:pPr>
              <w:spacing w:before="0" w:after="0"/>
              <w:jc w:val="left"/>
            </w:pPr>
            <w:r>
              <w:rPr>
                <w:rFonts w:ascii="Cambria" w:hAnsi="Cambria"/>
                <w:b w:val="0"/>
                <w:color w:val="222222"/>
                <w:sz w:val="14"/>
              </w:rPr>
              <w:t>Delayed change impact assessment</w:t>
            </w:r>
          </w:p>
        </w:tc>
        <w:tc>
          <w:tcPr>
            <w:tcW w:type="dxa" w:w="2448"/>
            <w:vAlign w:val="center"/>
          </w:tcPr>
          <w:p>
            <w:pPr>
              <w:spacing w:before="0" w:after="0"/>
              <w:jc w:val="left"/>
            </w:pPr>
            <w:r>
              <w:rPr>
                <w:rFonts w:ascii="Cambria" w:hAnsi="Cambria"/>
                <w:b w:val="0"/>
                <w:color w:val="222222"/>
                <w:sz w:val="14"/>
              </w:rPr>
              <w:t>Quality Systems Manager</w:t>
            </w:r>
          </w:p>
        </w:tc>
        <w:tc>
          <w:tcPr>
            <w:tcW w:type="dxa" w:w="1296"/>
            <w:vAlign w:val="center"/>
          </w:tcPr>
          <w:p>
            <w:pPr>
              <w:spacing w:before="0" w:after="0"/>
              <w:jc w:val="left"/>
            </w:pPr>
            <w:r>
              <w:rPr>
                <w:rFonts w:ascii="Cambria" w:hAnsi="Cambria"/>
                <w:b w:val="0"/>
                <w:color w:val="222222"/>
                <w:sz w:val="14"/>
              </w:rPr>
              <w:t>High</w:t>
            </w:r>
          </w:p>
        </w:tc>
        <w:tc>
          <w:tcPr>
            <w:tcW w:type="dxa" w:w="4752"/>
            <w:vAlign w:val="center"/>
          </w:tcPr>
          <w:p>
            <w:pPr>
              <w:spacing w:before="0" w:after="0"/>
              <w:jc w:val="left"/>
            </w:pPr>
            <w:r>
              <w:rPr>
                <w:rFonts w:ascii="Cambria" w:hAnsi="Cambria"/>
                <w:b w:val="0"/>
                <w:color w:val="222222"/>
                <w:sz w:val="14"/>
              </w:rPr>
              <w:t>Escalate aged change controls and validate implementation</w:t>
            </w:r>
          </w:p>
        </w:tc>
      </w:tr>
      <w:tr>
        <w:tc>
          <w:tcPr>
            <w:tcW w:type="dxa" w:w="2592"/>
            <w:vAlign w:val="center"/>
          </w:tcPr>
          <w:p>
            <w:pPr>
              <w:spacing w:before="0" w:after="0"/>
              <w:jc w:val="left"/>
            </w:pPr>
            <w:r>
              <w:rPr>
                <w:rFonts w:ascii="Cambria" w:hAnsi="Cambria"/>
                <w:b w:val="0"/>
                <w:color w:val="222222"/>
                <w:sz w:val="14"/>
              </w:rPr>
              <w:t>Business Continuity</w:t>
            </w:r>
          </w:p>
        </w:tc>
        <w:tc>
          <w:tcPr>
            <w:tcW w:type="dxa" w:w="4464"/>
            <w:vAlign w:val="center"/>
          </w:tcPr>
          <w:p>
            <w:pPr>
              <w:spacing w:before="0" w:after="0"/>
              <w:jc w:val="left"/>
            </w:pPr>
            <w:r>
              <w:rPr>
                <w:rFonts w:ascii="Cambria" w:hAnsi="Cambria"/>
                <w:b w:val="0"/>
                <w:color w:val="222222"/>
                <w:sz w:val="14"/>
              </w:rPr>
              <w:t>Quality release and supplier continuity dependency</w:t>
            </w:r>
          </w:p>
        </w:tc>
        <w:tc>
          <w:tcPr>
            <w:tcW w:type="dxa" w:w="2448"/>
            <w:vAlign w:val="center"/>
          </w:tcPr>
          <w:p>
            <w:pPr>
              <w:spacing w:before="0" w:after="0"/>
              <w:jc w:val="left"/>
            </w:pPr>
            <w:r>
              <w:rPr>
                <w:rFonts w:ascii="Cambria" w:hAnsi="Cambria"/>
                <w:b w:val="0"/>
                <w:color w:val="222222"/>
                <w:sz w:val="14"/>
              </w:rPr>
              <w:t>Operations Director</w:t>
            </w:r>
          </w:p>
        </w:tc>
        <w:tc>
          <w:tcPr>
            <w:tcW w:type="dxa" w:w="1296"/>
            <w:vAlign w:val="center"/>
          </w:tcPr>
          <w:p>
            <w:pPr>
              <w:spacing w:before="0" w:after="0"/>
              <w:jc w:val="left"/>
            </w:pPr>
            <w:r>
              <w:rPr>
                <w:rFonts w:ascii="Cambria" w:hAnsi="Cambria"/>
                <w:b w:val="0"/>
                <w:color w:val="222222"/>
                <w:sz w:val="14"/>
              </w:rPr>
              <w:t>Moderate</w:t>
            </w:r>
          </w:p>
        </w:tc>
        <w:tc>
          <w:tcPr>
            <w:tcW w:type="dxa" w:w="4752"/>
            <w:vAlign w:val="center"/>
          </w:tcPr>
          <w:p>
            <w:pPr>
              <w:spacing w:before="0" w:after="0"/>
              <w:jc w:val="left"/>
            </w:pPr>
            <w:r>
              <w:rPr>
                <w:rFonts w:ascii="Cambria" w:hAnsi="Cambria"/>
                <w:b w:val="0"/>
                <w:color w:val="222222"/>
                <w:sz w:val="14"/>
              </w:rPr>
              <w:t>Recovery test and alternate supplier readiness</w:t>
            </w:r>
          </w:p>
        </w:tc>
      </w:tr>
    </w:tbl>
    <w:p>
      <w:pPr>
        <w:spacing w:before="80" w:after="80"/>
      </w:pPr>
      <w:r>
        <w:rPr>
          <w:rFonts w:ascii="Cambria" w:hAnsi="Cambria"/>
          <w:b/>
          <w:color w:val="7030A0"/>
          <w:sz w:val="24"/>
        </w:rPr>
        <w:t>Change Impact Assessment Checklist</w:t>
      </w:r>
    </w:p>
    <w:tbl>
      <w:tblPr>
        <w:tblStyle w:val="LightShading-Accent4"/>
        <w:tblW w:type="auto" w:w="0"/>
        <w:jc w:val="center"/>
        <w:tblLayout w:type="autofit"/>
        <w:tblLook w:firstColumn="1" w:firstRow="1" w:lastColumn="0" w:lastRow="0" w:noHBand="0" w:noVBand="1" w:val="04A0"/>
      </w:tblPr>
      <w:tblGrid>
        <w:gridCol w:w="7128"/>
        <w:gridCol w:w="7128"/>
      </w:tblGrid>
      <w:tr>
        <w:tc>
          <w:tcPr>
            <w:tcW w:type="dxa" w:w="3312"/>
            <w:vAlign w:val="center"/>
          </w:tcPr>
          <w:p>
            <w:pPr>
              <w:spacing w:before="0" w:after="0"/>
              <w:jc w:val="center"/>
            </w:pPr>
            <w:r>
              <w:rPr>
                <w:rFonts w:ascii="Cambria" w:hAnsi="Cambria"/>
                <w:b/>
                <w:color w:val="222222"/>
                <w:sz w:val="14"/>
              </w:rPr>
              <w:t>Impact Area</w:t>
            </w:r>
          </w:p>
        </w:tc>
        <w:tc>
          <w:tcPr>
            <w:tcW w:type="dxa" w:w="11232"/>
            <w:vAlign w:val="center"/>
          </w:tcPr>
          <w:p>
            <w:pPr>
              <w:spacing w:before="0" w:after="0"/>
              <w:jc w:val="center"/>
            </w:pPr>
            <w:r>
              <w:rPr>
                <w:rFonts w:ascii="Cambria" w:hAnsi="Cambria"/>
                <w:b/>
                <w:color w:val="222222"/>
                <w:sz w:val="14"/>
              </w:rPr>
              <w:t>Required Evaluation</w:t>
            </w:r>
          </w:p>
        </w:tc>
      </w:tr>
      <w:tr>
        <w:tc>
          <w:tcPr>
            <w:tcW w:type="dxa" w:w="3312"/>
            <w:vAlign w:val="center"/>
          </w:tcPr>
          <w:p>
            <w:pPr>
              <w:spacing w:before="0" w:after="0"/>
              <w:jc w:val="left"/>
            </w:pPr>
            <w:r>
              <w:rPr>
                <w:rFonts w:ascii="Cambria" w:hAnsi="Cambria"/>
                <w:b w:val="0"/>
                <w:color w:val="222222"/>
                <w:sz w:val="14"/>
              </w:rPr>
              <w:t>Quality and Customer</w:t>
            </w:r>
          </w:p>
        </w:tc>
        <w:tc>
          <w:tcPr>
            <w:tcW w:type="dxa" w:w="11232"/>
            <w:vAlign w:val="center"/>
          </w:tcPr>
          <w:p>
            <w:pPr>
              <w:spacing w:before="0" w:after="0"/>
              <w:jc w:val="left"/>
            </w:pPr>
            <w:r>
              <w:rPr>
                <w:rFonts w:ascii="Cambria" w:hAnsi="Cambria"/>
                <w:b w:val="0"/>
                <w:color w:val="222222"/>
                <w:sz w:val="14"/>
              </w:rPr>
              <w:t>Product/service conformity, specification, customer approval and complaint risk</w:t>
            </w:r>
          </w:p>
        </w:tc>
      </w:tr>
      <w:tr>
        <w:tc>
          <w:tcPr>
            <w:tcW w:type="dxa" w:w="3312"/>
            <w:vAlign w:val="center"/>
          </w:tcPr>
          <w:p>
            <w:pPr>
              <w:spacing w:before="0" w:after="0"/>
              <w:jc w:val="left"/>
            </w:pPr>
            <w:r>
              <w:rPr>
                <w:rFonts w:ascii="Cambria" w:hAnsi="Cambria"/>
                <w:b w:val="0"/>
                <w:color w:val="222222"/>
                <w:sz w:val="14"/>
              </w:rPr>
              <w:t>Regulatory and Compliance</w:t>
            </w:r>
          </w:p>
        </w:tc>
        <w:tc>
          <w:tcPr>
            <w:tcW w:type="dxa" w:w="11232"/>
            <w:vAlign w:val="center"/>
          </w:tcPr>
          <w:p>
            <w:pPr>
              <w:spacing w:before="0" w:after="0"/>
              <w:jc w:val="left"/>
            </w:pPr>
            <w:r>
              <w:rPr>
                <w:rFonts w:ascii="Cambria" w:hAnsi="Cambria"/>
                <w:b w:val="0"/>
                <w:color w:val="222222"/>
                <w:sz w:val="14"/>
              </w:rPr>
              <w:t>Legal, regulatory, license, notification and validation impact</w:t>
            </w:r>
          </w:p>
        </w:tc>
      </w:tr>
      <w:tr>
        <w:tc>
          <w:tcPr>
            <w:tcW w:type="dxa" w:w="3312"/>
            <w:vAlign w:val="center"/>
          </w:tcPr>
          <w:p>
            <w:pPr>
              <w:spacing w:before="0" w:after="0"/>
              <w:jc w:val="left"/>
            </w:pPr>
            <w:r>
              <w:rPr>
                <w:rFonts w:ascii="Cambria" w:hAnsi="Cambria"/>
                <w:b w:val="0"/>
                <w:color w:val="222222"/>
                <w:sz w:val="14"/>
              </w:rPr>
              <w:t>Process and Documentation</w:t>
            </w:r>
          </w:p>
        </w:tc>
        <w:tc>
          <w:tcPr>
            <w:tcW w:type="dxa" w:w="11232"/>
            <w:vAlign w:val="center"/>
          </w:tcPr>
          <w:p>
            <w:pPr>
              <w:spacing w:before="0" w:after="0"/>
              <w:jc w:val="left"/>
            </w:pPr>
            <w:r>
              <w:rPr>
                <w:rFonts w:ascii="Cambria" w:hAnsi="Cambria"/>
                <w:b w:val="0"/>
                <w:color w:val="222222"/>
                <w:sz w:val="14"/>
              </w:rPr>
              <w:t>Procedure, instruction, record, system and workflow updates</w:t>
            </w:r>
          </w:p>
        </w:tc>
      </w:tr>
      <w:tr>
        <w:tc>
          <w:tcPr>
            <w:tcW w:type="dxa" w:w="3312"/>
            <w:vAlign w:val="center"/>
          </w:tcPr>
          <w:p>
            <w:pPr>
              <w:spacing w:before="0" w:after="0"/>
              <w:jc w:val="left"/>
            </w:pPr>
            <w:r>
              <w:rPr>
                <w:rFonts w:ascii="Cambria" w:hAnsi="Cambria"/>
                <w:b w:val="0"/>
                <w:color w:val="222222"/>
                <w:sz w:val="14"/>
              </w:rPr>
              <w:t>People and Competence</w:t>
            </w:r>
          </w:p>
        </w:tc>
        <w:tc>
          <w:tcPr>
            <w:tcW w:type="dxa" w:w="11232"/>
            <w:vAlign w:val="center"/>
          </w:tcPr>
          <w:p>
            <w:pPr>
              <w:spacing w:before="0" w:after="0"/>
              <w:jc w:val="left"/>
            </w:pPr>
            <w:r>
              <w:rPr>
                <w:rFonts w:ascii="Cambria" w:hAnsi="Cambria"/>
                <w:b w:val="0"/>
                <w:color w:val="222222"/>
                <w:sz w:val="14"/>
              </w:rPr>
              <w:t>Training, qualification, communication and role responsibility</w:t>
            </w:r>
          </w:p>
        </w:tc>
      </w:tr>
      <w:tr>
        <w:tc>
          <w:tcPr>
            <w:tcW w:type="dxa" w:w="3312"/>
            <w:vAlign w:val="center"/>
          </w:tcPr>
          <w:p>
            <w:pPr>
              <w:spacing w:before="0" w:after="0"/>
              <w:jc w:val="left"/>
            </w:pPr>
            <w:r>
              <w:rPr>
                <w:rFonts w:ascii="Cambria" w:hAnsi="Cambria"/>
                <w:b w:val="0"/>
                <w:color w:val="222222"/>
                <w:sz w:val="14"/>
              </w:rPr>
              <w:t>Supplier and Technology</w:t>
            </w:r>
          </w:p>
        </w:tc>
        <w:tc>
          <w:tcPr>
            <w:tcW w:type="dxa" w:w="11232"/>
            <w:vAlign w:val="center"/>
          </w:tcPr>
          <w:p>
            <w:pPr>
              <w:spacing w:before="0" w:after="0"/>
              <w:jc w:val="left"/>
            </w:pPr>
            <w:r>
              <w:rPr>
                <w:rFonts w:ascii="Cambria" w:hAnsi="Cambria"/>
                <w:b w:val="0"/>
                <w:color w:val="222222"/>
                <w:sz w:val="14"/>
              </w:rPr>
              <w:t>Supplier approval, software, equipment, cybersecurity and continuity</w:t>
            </w:r>
          </w:p>
        </w:tc>
      </w:tr>
      <w:tr>
        <w:tc>
          <w:tcPr>
            <w:tcW w:type="dxa" w:w="3312"/>
            <w:vAlign w:val="center"/>
          </w:tcPr>
          <w:p>
            <w:pPr>
              <w:spacing w:before="0" w:after="0"/>
              <w:jc w:val="left"/>
            </w:pPr>
            <w:r>
              <w:rPr>
                <w:rFonts w:ascii="Cambria" w:hAnsi="Cambria"/>
                <w:b w:val="0"/>
                <w:color w:val="222222"/>
                <w:sz w:val="14"/>
              </w:rPr>
              <w:t>Effectiveness</w:t>
            </w:r>
          </w:p>
        </w:tc>
        <w:tc>
          <w:tcPr>
            <w:tcW w:type="dxa" w:w="11232"/>
            <w:vAlign w:val="center"/>
          </w:tcPr>
          <w:p>
            <w:pPr>
              <w:spacing w:before="0" w:after="0"/>
              <w:jc w:val="left"/>
            </w:pPr>
            <w:r>
              <w:rPr>
                <w:rFonts w:ascii="Cambria" w:hAnsi="Cambria"/>
                <w:b w:val="0"/>
                <w:color w:val="222222"/>
                <w:sz w:val="14"/>
              </w:rPr>
              <w:t>Success criteria, post-implementation verification and residual risk acceptance</w:t>
            </w:r>
          </w:p>
        </w:tc>
      </w:tr>
    </w:tbl>
    <w:p>
      <w:r>
        <w:br w:type="page"/>
      </w:r>
    </w:p>
    <w:p>
      <w:pPr>
        <w:spacing w:before="80" w:after="80"/>
      </w:pPr>
      <w:r>
        <w:rPr>
          <w:rFonts w:ascii="Cambria" w:hAnsi="Cambria"/>
          <w:b/>
          <w:color w:val="008C95"/>
          <w:sz w:val="24"/>
        </w:rPr>
        <w:t>8. MANAGEMENT DECISIONS, ACTIONS &amp; APPROVAL</w:t>
      </w:r>
    </w:p>
    <w:tbl>
      <w:tblPr>
        <w:tblStyle w:val="MediumGrid1-Accent5"/>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c>
          <w:tcPr>
            <w:tcW w:type="dxa" w:w="1152"/>
            <w:vAlign w:val="center"/>
          </w:tcPr>
          <w:p>
            <w:pPr>
              <w:spacing w:before="0" w:after="0"/>
              <w:jc w:val="center"/>
            </w:pPr>
            <w:r>
              <w:rPr>
                <w:rFonts w:ascii="Cambria" w:hAnsi="Cambria"/>
                <w:b/>
                <w:color w:val="222222"/>
                <w:sz w:val="13"/>
              </w:rPr>
              <w:t>Action ID</w:t>
            </w:r>
          </w:p>
        </w:tc>
        <w:tc>
          <w:tcPr>
            <w:tcW w:type="dxa" w:w="4896"/>
            <w:vAlign w:val="center"/>
          </w:tcPr>
          <w:p>
            <w:pPr>
              <w:spacing w:before="0" w:after="0"/>
              <w:jc w:val="center"/>
            </w:pPr>
            <w:r>
              <w:rPr>
                <w:rFonts w:ascii="Cambria" w:hAnsi="Cambria"/>
                <w:b/>
                <w:color w:val="222222"/>
                <w:sz w:val="13"/>
              </w:rPr>
              <w:t>Management Action</w:t>
            </w:r>
          </w:p>
        </w:tc>
        <w:tc>
          <w:tcPr>
            <w:tcW w:type="dxa" w:w="2160"/>
            <w:vAlign w:val="center"/>
          </w:tcPr>
          <w:p>
            <w:pPr>
              <w:spacing w:before="0" w:after="0"/>
              <w:jc w:val="center"/>
            </w:pPr>
            <w:r>
              <w:rPr>
                <w:rFonts w:ascii="Cambria" w:hAnsi="Cambria"/>
                <w:b/>
                <w:color w:val="222222"/>
                <w:sz w:val="13"/>
              </w:rPr>
              <w:t>Owner</w:t>
            </w:r>
          </w:p>
        </w:tc>
        <w:tc>
          <w:tcPr>
            <w:tcW w:type="dxa" w:w="1152"/>
            <w:vAlign w:val="center"/>
          </w:tcPr>
          <w:p>
            <w:pPr>
              <w:spacing w:before="0" w:after="0"/>
              <w:jc w:val="center"/>
            </w:pPr>
            <w:r>
              <w:rPr>
                <w:rFonts w:ascii="Cambria" w:hAnsi="Cambria"/>
                <w:b/>
                <w:color w:val="222222"/>
                <w:sz w:val="13"/>
              </w:rPr>
              <w:t>Priority</w:t>
            </w:r>
          </w:p>
        </w:tc>
        <w:tc>
          <w:tcPr>
            <w:tcW w:type="dxa" w:w="1368"/>
            <w:vAlign w:val="center"/>
          </w:tcPr>
          <w:p>
            <w:pPr>
              <w:spacing w:before="0" w:after="0"/>
              <w:jc w:val="center"/>
            </w:pPr>
            <w:r>
              <w:rPr>
                <w:rFonts w:ascii="Cambria" w:hAnsi="Cambria"/>
                <w:b/>
                <w:color w:val="222222"/>
                <w:sz w:val="13"/>
              </w:rPr>
              <w:t>Due Date</w:t>
            </w:r>
          </w:p>
        </w:tc>
        <w:tc>
          <w:tcPr>
            <w:tcW w:type="dxa" w:w="1296"/>
            <w:vAlign w:val="center"/>
          </w:tcPr>
          <w:p>
            <w:pPr>
              <w:spacing w:before="0" w:after="0"/>
              <w:jc w:val="center"/>
            </w:pPr>
            <w:r>
              <w:rPr>
                <w:rFonts w:ascii="Cambria" w:hAnsi="Cambria"/>
                <w:b/>
                <w:color w:val="222222"/>
                <w:sz w:val="13"/>
              </w:rPr>
              <w:t>Status</w:t>
            </w:r>
          </w:p>
        </w:tc>
        <w:tc>
          <w:tcPr>
            <w:tcW w:type="dxa" w:w="1152"/>
            <w:vAlign w:val="center"/>
          </w:tcPr>
          <w:p>
            <w:pPr>
              <w:spacing w:before="0" w:after="0"/>
              <w:jc w:val="center"/>
            </w:pPr>
            <w:r>
              <w:rPr>
                <w:rFonts w:ascii="Cambria" w:hAnsi="Cambria"/>
                <w:b/>
                <w:color w:val="222222"/>
                <w:sz w:val="13"/>
              </w:rPr>
              <w:t>Progress</w:t>
            </w:r>
          </w:p>
        </w:tc>
        <w:tc>
          <w:tcPr>
            <w:tcW w:type="dxa" w:w="3168"/>
            <w:vAlign w:val="center"/>
          </w:tcPr>
          <w:p>
            <w:pPr>
              <w:spacing w:before="0" w:after="0"/>
              <w:jc w:val="center"/>
            </w:pPr>
            <w:r>
              <w:rPr>
                <w:rFonts w:ascii="Cambria" w:hAnsi="Cambria"/>
                <w:b/>
                <w:color w:val="222222"/>
                <w:sz w:val="13"/>
              </w:rPr>
              <w:t>Required Evidence</w:t>
            </w:r>
          </w:p>
        </w:tc>
      </w:tr>
      <w:tr>
        <w:tc>
          <w:tcPr>
            <w:tcW w:type="dxa" w:w="1152"/>
            <w:vAlign w:val="center"/>
          </w:tcPr>
          <w:p>
            <w:pPr>
              <w:spacing w:before="0" w:after="0"/>
              <w:jc w:val="left"/>
            </w:pPr>
            <w:r>
              <w:rPr>
                <w:rFonts w:ascii="Cambria" w:hAnsi="Cambria"/>
                <w:b w:val="0"/>
                <w:color w:val="222222"/>
                <w:sz w:val="13"/>
              </w:rPr>
              <w:t>MA-001</w:t>
            </w:r>
          </w:p>
        </w:tc>
        <w:tc>
          <w:tcPr>
            <w:tcW w:type="dxa" w:w="4896"/>
            <w:vAlign w:val="center"/>
          </w:tcPr>
          <w:p>
            <w:pPr>
              <w:spacing w:before="0" w:after="0"/>
              <w:jc w:val="left"/>
            </w:pPr>
            <w:r>
              <w:rPr>
                <w:rFonts w:ascii="Cambria" w:hAnsi="Cambria"/>
                <w:b w:val="0"/>
                <w:color w:val="222222"/>
                <w:sz w:val="13"/>
              </w:rPr>
              <w:t>Close aged CAPA effectiveness-verification backlog</w:t>
            </w:r>
          </w:p>
        </w:tc>
        <w:tc>
          <w:tcPr>
            <w:tcW w:type="dxa" w:w="2160"/>
            <w:vAlign w:val="center"/>
          </w:tcPr>
          <w:p>
            <w:pPr>
              <w:spacing w:before="0" w:after="0"/>
              <w:jc w:val="left"/>
            </w:pPr>
            <w:r>
              <w:rPr>
                <w:rFonts w:ascii="Cambria" w:hAnsi="Cambria"/>
                <w:b w:val="0"/>
                <w:color w:val="222222"/>
                <w:sz w:val="13"/>
              </w:rPr>
              <w:t>CAPA Manager</w:t>
            </w:r>
          </w:p>
        </w:tc>
        <w:tc>
          <w:tcPr>
            <w:tcW w:type="dxa" w:w="1152"/>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15, 2025</w:t>
            </w:r>
          </w:p>
        </w:tc>
        <w:tc>
          <w:tcPr>
            <w:tcW w:type="dxa" w:w="1296"/>
            <w:vAlign w:val="center"/>
          </w:tcPr>
          <w:p>
            <w:pPr>
              <w:spacing w:before="0" w:after="0"/>
              <w:jc w:val="left"/>
            </w:pPr>
            <w:r>
              <w:rPr>
                <w:rFonts w:ascii="Cambria" w:hAnsi="Cambria"/>
                <w:b w:val="0"/>
                <w:color w:val="222222"/>
                <w:sz w:val="13"/>
              </w:rPr>
              <w:t>In Progress</w:t>
            </w:r>
          </w:p>
        </w:tc>
        <w:tc>
          <w:tcPr>
            <w:tcW w:type="dxa" w:w="1152"/>
            <w:vAlign w:val="center"/>
          </w:tcPr>
          <w:p>
            <w:pPr>
              <w:spacing w:before="0" w:after="0"/>
              <w:jc w:val="left"/>
            </w:pPr>
            <w:r>
              <w:rPr>
                <w:rFonts w:ascii="Cambria" w:hAnsi="Cambria"/>
                <w:b w:val="0"/>
                <w:color w:val="222222"/>
                <w:sz w:val="13"/>
              </w:rPr>
              <w:t>70%</w:t>
            </w:r>
          </w:p>
        </w:tc>
        <w:tc>
          <w:tcPr>
            <w:tcW w:type="dxa" w:w="3168"/>
            <w:vAlign w:val="center"/>
          </w:tcPr>
          <w:p>
            <w:pPr>
              <w:spacing w:before="0" w:after="0"/>
              <w:jc w:val="left"/>
            </w:pPr>
            <w:r>
              <w:rPr>
                <w:rFonts w:ascii="Cambria" w:hAnsi="Cambria"/>
                <w:b w:val="0"/>
                <w:color w:val="222222"/>
                <w:sz w:val="13"/>
              </w:rPr>
              <w:t>Verification records and closure approval</w:t>
            </w:r>
          </w:p>
        </w:tc>
      </w:tr>
      <w:tr>
        <w:tc>
          <w:tcPr>
            <w:tcW w:type="dxa" w:w="1152"/>
            <w:vAlign w:val="center"/>
          </w:tcPr>
          <w:p>
            <w:pPr>
              <w:spacing w:before="0" w:after="0"/>
              <w:jc w:val="left"/>
            </w:pPr>
            <w:r>
              <w:rPr>
                <w:rFonts w:ascii="Cambria" w:hAnsi="Cambria"/>
                <w:b w:val="0"/>
                <w:color w:val="222222"/>
                <w:sz w:val="13"/>
              </w:rPr>
              <w:t>MA-002</w:t>
            </w:r>
          </w:p>
        </w:tc>
        <w:tc>
          <w:tcPr>
            <w:tcW w:type="dxa" w:w="4896"/>
            <w:vAlign w:val="center"/>
          </w:tcPr>
          <w:p>
            <w:pPr>
              <w:spacing w:before="0" w:after="0"/>
              <w:jc w:val="left"/>
            </w:pPr>
            <w:r>
              <w:rPr>
                <w:rFonts w:ascii="Cambria" w:hAnsi="Cambria"/>
                <w:b w:val="0"/>
                <w:color w:val="222222"/>
                <w:sz w:val="13"/>
              </w:rPr>
              <w:t>Recover delayed internal and supplier audits</w:t>
            </w:r>
          </w:p>
        </w:tc>
        <w:tc>
          <w:tcPr>
            <w:tcW w:type="dxa" w:w="2160"/>
            <w:vAlign w:val="center"/>
          </w:tcPr>
          <w:p>
            <w:pPr>
              <w:spacing w:before="0" w:after="0"/>
              <w:jc w:val="left"/>
            </w:pPr>
            <w:r>
              <w:rPr>
                <w:rFonts w:ascii="Cambria" w:hAnsi="Cambria"/>
                <w:b w:val="0"/>
                <w:color w:val="222222"/>
                <w:sz w:val="13"/>
              </w:rPr>
              <w:t>Lead Auditor</w:t>
            </w:r>
          </w:p>
        </w:tc>
        <w:tc>
          <w:tcPr>
            <w:tcW w:type="dxa" w:w="1152"/>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30, 2025</w:t>
            </w:r>
          </w:p>
        </w:tc>
        <w:tc>
          <w:tcPr>
            <w:tcW w:type="dxa" w:w="1296"/>
            <w:vAlign w:val="center"/>
          </w:tcPr>
          <w:p>
            <w:pPr>
              <w:spacing w:before="0" w:after="0"/>
              <w:jc w:val="left"/>
            </w:pPr>
            <w:r>
              <w:rPr>
                <w:rFonts w:ascii="Cambria" w:hAnsi="Cambria"/>
                <w:b w:val="0"/>
                <w:color w:val="222222"/>
                <w:sz w:val="13"/>
              </w:rPr>
              <w:t>Open</w:t>
            </w:r>
          </w:p>
        </w:tc>
        <w:tc>
          <w:tcPr>
            <w:tcW w:type="dxa" w:w="1152"/>
            <w:vAlign w:val="center"/>
          </w:tcPr>
          <w:p>
            <w:pPr>
              <w:spacing w:before="0" w:after="0"/>
              <w:jc w:val="left"/>
            </w:pPr>
            <w:r>
              <w:rPr>
                <w:rFonts w:ascii="Cambria" w:hAnsi="Cambria"/>
                <w:b w:val="0"/>
                <w:color w:val="222222"/>
                <w:sz w:val="13"/>
              </w:rPr>
              <w:t>35%</w:t>
            </w:r>
          </w:p>
        </w:tc>
        <w:tc>
          <w:tcPr>
            <w:tcW w:type="dxa" w:w="3168"/>
            <w:vAlign w:val="center"/>
          </w:tcPr>
          <w:p>
            <w:pPr>
              <w:spacing w:before="0" w:after="0"/>
              <w:jc w:val="left"/>
            </w:pPr>
            <w:r>
              <w:rPr>
                <w:rFonts w:ascii="Cambria" w:hAnsi="Cambria"/>
                <w:b w:val="0"/>
                <w:color w:val="222222"/>
                <w:sz w:val="13"/>
              </w:rPr>
              <w:t>Revised audit plan and completed reports</w:t>
            </w:r>
          </w:p>
        </w:tc>
      </w:tr>
      <w:tr>
        <w:tc>
          <w:tcPr>
            <w:tcW w:type="dxa" w:w="1152"/>
            <w:vAlign w:val="center"/>
          </w:tcPr>
          <w:p>
            <w:pPr>
              <w:spacing w:before="0" w:after="0"/>
              <w:jc w:val="left"/>
            </w:pPr>
            <w:r>
              <w:rPr>
                <w:rFonts w:ascii="Cambria" w:hAnsi="Cambria"/>
                <w:b w:val="0"/>
                <w:color w:val="222222"/>
                <w:sz w:val="13"/>
              </w:rPr>
              <w:t>MA-003</w:t>
            </w:r>
          </w:p>
        </w:tc>
        <w:tc>
          <w:tcPr>
            <w:tcW w:type="dxa" w:w="4896"/>
            <w:vAlign w:val="center"/>
          </w:tcPr>
          <w:p>
            <w:pPr>
              <w:spacing w:before="0" w:after="0"/>
              <w:jc w:val="left"/>
            </w:pPr>
            <w:r>
              <w:rPr>
                <w:rFonts w:ascii="Cambria" w:hAnsi="Cambria"/>
                <w:b w:val="0"/>
                <w:color w:val="222222"/>
                <w:sz w:val="13"/>
              </w:rPr>
              <w:t>Approve regulatory labeling change package</w:t>
            </w:r>
          </w:p>
        </w:tc>
        <w:tc>
          <w:tcPr>
            <w:tcW w:type="dxa" w:w="2160"/>
            <w:vAlign w:val="center"/>
          </w:tcPr>
          <w:p>
            <w:pPr>
              <w:spacing w:before="0" w:after="0"/>
              <w:jc w:val="left"/>
            </w:pPr>
            <w:r>
              <w:rPr>
                <w:rFonts w:ascii="Cambria" w:hAnsi="Cambria"/>
                <w:b w:val="0"/>
                <w:color w:val="222222"/>
                <w:sz w:val="13"/>
              </w:rPr>
              <w:t>Compliance Director</w:t>
            </w:r>
          </w:p>
        </w:tc>
        <w:tc>
          <w:tcPr>
            <w:tcW w:type="dxa" w:w="1152"/>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Jun 12, 2025</w:t>
            </w:r>
          </w:p>
        </w:tc>
        <w:tc>
          <w:tcPr>
            <w:tcW w:type="dxa" w:w="1296"/>
            <w:vAlign w:val="center"/>
          </w:tcPr>
          <w:p>
            <w:pPr>
              <w:spacing w:before="0" w:after="0"/>
              <w:jc w:val="left"/>
            </w:pPr>
            <w:r>
              <w:rPr>
                <w:rFonts w:ascii="Cambria" w:hAnsi="Cambria"/>
                <w:b w:val="0"/>
                <w:color w:val="222222"/>
                <w:sz w:val="13"/>
              </w:rPr>
              <w:t>Overdue</w:t>
            </w:r>
          </w:p>
        </w:tc>
        <w:tc>
          <w:tcPr>
            <w:tcW w:type="dxa" w:w="1152"/>
            <w:vAlign w:val="center"/>
          </w:tcPr>
          <w:p>
            <w:pPr>
              <w:spacing w:before="0" w:after="0"/>
              <w:jc w:val="left"/>
            </w:pPr>
            <w:r>
              <w:rPr>
                <w:rFonts w:ascii="Cambria" w:hAnsi="Cambria"/>
                <w:b w:val="0"/>
                <w:color w:val="222222"/>
                <w:sz w:val="13"/>
              </w:rPr>
              <w:t>80%</w:t>
            </w:r>
          </w:p>
        </w:tc>
        <w:tc>
          <w:tcPr>
            <w:tcW w:type="dxa" w:w="3168"/>
            <w:vAlign w:val="center"/>
          </w:tcPr>
          <w:p>
            <w:pPr>
              <w:spacing w:before="0" w:after="0"/>
              <w:jc w:val="left"/>
            </w:pPr>
            <w:r>
              <w:rPr>
                <w:rFonts w:ascii="Cambria" w:hAnsi="Cambria"/>
                <w:b w:val="0"/>
                <w:color w:val="222222"/>
                <w:sz w:val="13"/>
              </w:rPr>
              <w:t>Approved change and training evidence</w:t>
            </w:r>
          </w:p>
        </w:tc>
      </w:tr>
      <w:tr>
        <w:tc>
          <w:tcPr>
            <w:tcW w:type="dxa" w:w="1152"/>
            <w:vAlign w:val="center"/>
          </w:tcPr>
          <w:p>
            <w:pPr>
              <w:spacing w:before="0" w:after="0"/>
              <w:jc w:val="left"/>
            </w:pPr>
            <w:r>
              <w:rPr>
                <w:rFonts w:ascii="Cambria" w:hAnsi="Cambria"/>
                <w:b w:val="0"/>
                <w:color w:val="222222"/>
                <w:sz w:val="13"/>
              </w:rPr>
              <w:t>MA-004</w:t>
            </w:r>
          </w:p>
        </w:tc>
        <w:tc>
          <w:tcPr>
            <w:tcW w:type="dxa" w:w="4896"/>
            <w:vAlign w:val="center"/>
          </w:tcPr>
          <w:p>
            <w:pPr>
              <w:spacing w:before="0" w:after="0"/>
              <w:jc w:val="left"/>
            </w:pPr>
            <w:r>
              <w:rPr>
                <w:rFonts w:ascii="Cambria" w:hAnsi="Cambria"/>
                <w:b w:val="0"/>
                <w:color w:val="222222"/>
                <w:sz w:val="13"/>
              </w:rPr>
              <w:t>Improve supplier performance and continuity controls</w:t>
            </w:r>
          </w:p>
        </w:tc>
        <w:tc>
          <w:tcPr>
            <w:tcW w:type="dxa" w:w="2160"/>
            <w:vAlign w:val="center"/>
          </w:tcPr>
          <w:p>
            <w:pPr>
              <w:spacing w:before="0" w:after="0"/>
              <w:jc w:val="left"/>
            </w:pPr>
            <w:r>
              <w:rPr>
                <w:rFonts w:ascii="Cambria" w:hAnsi="Cambria"/>
                <w:b w:val="0"/>
                <w:color w:val="222222"/>
                <w:sz w:val="13"/>
              </w:rPr>
              <w:t>Supply Chain Director</w:t>
            </w:r>
          </w:p>
        </w:tc>
        <w:tc>
          <w:tcPr>
            <w:tcW w:type="dxa" w:w="1152"/>
            <w:vAlign w:val="center"/>
          </w:tcPr>
          <w:p>
            <w:pPr>
              <w:spacing w:before="0" w:after="0"/>
              <w:jc w:val="left"/>
            </w:pPr>
            <w:r>
              <w:rPr>
                <w:rFonts w:ascii="Cambria" w:hAnsi="Cambria"/>
                <w:b w:val="0"/>
                <w:color w:val="222222"/>
                <w:sz w:val="13"/>
              </w:rPr>
              <w:t>High</w:t>
            </w:r>
          </w:p>
        </w:tc>
        <w:tc>
          <w:tcPr>
            <w:tcW w:type="dxa" w:w="1368"/>
            <w:vAlign w:val="center"/>
          </w:tcPr>
          <w:p>
            <w:pPr>
              <w:spacing w:before="0" w:after="0"/>
              <w:jc w:val="left"/>
            </w:pPr>
            <w:r>
              <w:rPr>
                <w:rFonts w:ascii="Cambria" w:hAnsi="Cambria"/>
                <w:b w:val="0"/>
                <w:color w:val="222222"/>
                <w:sz w:val="13"/>
              </w:rPr>
              <w:t>Jul 15, 2025</w:t>
            </w:r>
          </w:p>
        </w:tc>
        <w:tc>
          <w:tcPr>
            <w:tcW w:type="dxa" w:w="1296"/>
            <w:vAlign w:val="center"/>
          </w:tcPr>
          <w:p>
            <w:pPr>
              <w:spacing w:before="0" w:after="0"/>
              <w:jc w:val="left"/>
            </w:pPr>
            <w:r>
              <w:rPr>
                <w:rFonts w:ascii="Cambria" w:hAnsi="Cambria"/>
                <w:b w:val="0"/>
                <w:color w:val="222222"/>
                <w:sz w:val="13"/>
              </w:rPr>
              <w:t>In Progress</w:t>
            </w:r>
          </w:p>
        </w:tc>
        <w:tc>
          <w:tcPr>
            <w:tcW w:type="dxa" w:w="1152"/>
            <w:vAlign w:val="center"/>
          </w:tcPr>
          <w:p>
            <w:pPr>
              <w:spacing w:before="0" w:after="0"/>
              <w:jc w:val="left"/>
            </w:pPr>
            <w:r>
              <w:rPr>
                <w:rFonts w:ascii="Cambria" w:hAnsi="Cambria"/>
                <w:b w:val="0"/>
                <w:color w:val="222222"/>
                <w:sz w:val="13"/>
              </w:rPr>
              <w:t>45%</w:t>
            </w:r>
          </w:p>
        </w:tc>
        <w:tc>
          <w:tcPr>
            <w:tcW w:type="dxa" w:w="3168"/>
            <w:vAlign w:val="center"/>
          </w:tcPr>
          <w:p>
            <w:pPr>
              <w:spacing w:before="0" w:after="0"/>
              <w:jc w:val="left"/>
            </w:pPr>
            <w:r>
              <w:rPr>
                <w:rFonts w:ascii="Cambria" w:hAnsi="Cambria"/>
                <w:b w:val="0"/>
                <w:color w:val="222222"/>
                <w:sz w:val="13"/>
              </w:rPr>
              <w:t>Supplier CAPA and contingency plan</w:t>
            </w:r>
          </w:p>
        </w:tc>
      </w:tr>
      <w:tr>
        <w:tc>
          <w:tcPr>
            <w:tcW w:type="dxa" w:w="1152"/>
            <w:vAlign w:val="center"/>
          </w:tcPr>
          <w:p>
            <w:pPr>
              <w:spacing w:before="0" w:after="0"/>
              <w:jc w:val="left"/>
            </w:pPr>
            <w:r>
              <w:rPr>
                <w:rFonts w:ascii="Cambria" w:hAnsi="Cambria"/>
                <w:b w:val="0"/>
                <w:color w:val="222222"/>
                <w:sz w:val="13"/>
              </w:rPr>
              <w:t>MA-005</w:t>
            </w:r>
          </w:p>
        </w:tc>
        <w:tc>
          <w:tcPr>
            <w:tcW w:type="dxa" w:w="4896"/>
            <w:vAlign w:val="center"/>
          </w:tcPr>
          <w:p>
            <w:pPr>
              <w:spacing w:before="0" w:after="0"/>
              <w:jc w:val="left"/>
            </w:pPr>
            <w:r>
              <w:rPr>
                <w:rFonts w:ascii="Cambria" w:hAnsi="Cambria"/>
                <w:b w:val="0"/>
                <w:color w:val="222222"/>
                <w:sz w:val="13"/>
              </w:rPr>
              <w:t>Close overdue controlled-document reviews</w:t>
            </w:r>
          </w:p>
        </w:tc>
        <w:tc>
          <w:tcPr>
            <w:tcW w:type="dxa" w:w="2160"/>
            <w:vAlign w:val="center"/>
          </w:tcPr>
          <w:p>
            <w:pPr>
              <w:spacing w:before="0" w:after="0"/>
              <w:jc w:val="left"/>
            </w:pPr>
            <w:r>
              <w:rPr>
                <w:rFonts w:ascii="Cambria" w:hAnsi="Cambria"/>
                <w:b w:val="0"/>
                <w:color w:val="222222"/>
                <w:sz w:val="13"/>
              </w:rPr>
              <w:t>Document Control Lead</w:t>
            </w:r>
          </w:p>
        </w:tc>
        <w:tc>
          <w:tcPr>
            <w:tcW w:type="dxa" w:w="1152"/>
            <w:vAlign w:val="center"/>
          </w:tcPr>
          <w:p>
            <w:pPr>
              <w:spacing w:before="0" w:after="0"/>
              <w:jc w:val="left"/>
            </w:pPr>
            <w:r>
              <w:rPr>
                <w:rFonts w:ascii="Cambria" w:hAnsi="Cambria"/>
                <w:b w:val="0"/>
                <w:color w:val="222222"/>
                <w:sz w:val="13"/>
              </w:rPr>
              <w:t>Medium</w:t>
            </w:r>
          </w:p>
        </w:tc>
        <w:tc>
          <w:tcPr>
            <w:tcW w:type="dxa" w:w="1368"/>
            <w:vAlign w:val="center"/>
          </w:tcPr>
          <w:p>
            <w:pPr>
              <w:spacing w:before="0" w:after="0"/>
              <w:jc w:val="left"/>
            </w:pPr>
            <w:r>
              <w:rPr>
                <w:rFonts w:ascii="Cambria" w:hAnsi="Cambria"/>
                <w:b w:val="0"/>
                <w:color w:val="222222"/>
                <w:sz w:val="13"/>
              </w:rPr>
              <w:t>Jun 25, 2025</w:t>
            </w:r>
          </w:p>
        </w:tc>
        <w:tc>
          <w:tcPr>
            <w:tcW w:type="dxa" w:w="1296"/>
            <w:vAlign w:val="center"/>
          </w:tcPr>
          <w:p>
            <w:pPr>
              <w:spacing w:before="0" w:after="0"/>
              <w:jc w:val="left"/>
            </w:pPr>
            <w:r>
              <w:rPr>
                <w:rFonts w:ascii="Cambria" w:hAnsi="Cambria"/>
                <w:b w:val="0"/>
                <w:color w:val="222222"/>
                <w:sz w:val="13"/>
              </w:rPr>
              <w:t>In Progress</w:t>
            </w:r>
          </w:p>
        </w:tc>
        <w:tc>
          <w:tcPr>
            <w:tcW w:type="dxa" w:w="1152"/>
            <w:vAlign w:val="center"/>
          </w:tcPr>
          <w:p>
            <w:pPr>
              <w:spacing w:before="0" w:after="0"/>
              <w:jc w:val="left"/>
            </w:pPr>
            <w:r>
              <w:rPr>
                <w:rFonts w:ascii="Cambria" w:hAnsi="Cambria"/>
                <w:b w:val="0"/>
                <w:color w:val="222222"/>
                <w:sz w:val="13"/>
              </w:rPr>
              <w:t>55%</w:t>
            </w:r>
          </w:p>
        </w:tc>
        <w:tc>
          <w:tcPr>
            <w:tcW w:type="dxa" w:w="3168"/>
            <w:vAlign w:val="center"/>
          </w:tcPr>
          <w:p>
            <w:pPr>
              <w:spacing w:before="0" w:after="0"/>
              <w:jc w:val="left"/>
            </w:pPr>
            <w:r>
              <w:rPr>
                <w:rFonts w:ascii="Cambria" w:hAnsi="Cambria"/>
                <w:b w:val="0"/>
                <w:color w:val="222222"/>
                <w:sz w:val="13"/>
              </w:rPr>
              <w:t>Updated master list and approvals</w:t>
            </w:r>
          </w:p>
        </w:tc>
      </w:tr>
      <w:tr>
        <w:tc>
          <w:tcPr>
            <w:tcW w:type="dxa" w:w="1152"/>
            <w:vAlign w:val="center"/>
          </w:tcPr>
          <w:p>
            <w:pPr>
              <w:spacing w:before="0" w:after="0"/>
              <w:jc w:val="left"/>
            </w:pPr>
            <w:r>
              <w:rPr>
                <w:rFonts w:ascii="Cambria" w:hAnsi="Cambria"/>
                <w:b w:val="0"/>
                <w:color w:val="222222"/>
                <w:sz w:val="13"/>
              </w:rPr>
              <w:t>MA-006</w:t>
            </w:r>
          </w:p>
        </w:tc>
        <w:tc>
          <w:tcPr>
            <w:tcW w:type="dxa" w:w="4896"/>
            <w:vAlign w:val="center"/>
          </w:tcPr>
          <w:p>
            <w:pPr>
              <w:spacing w:before="0" w:after="0"/>
              <w:jc w:val="left"/>
            </w:pPr>
            <w:r>
              <w:rPr>
                <w:rFonts w:ascii="Cambria" w:hAnsi="Cambria"/>
                <w:b w:val="0"/>
                <w:color w:val="222222"/>
                <w:sz w:val="13"/>
              </w:rPr>
              <w:t>Increase mandatory training completion to 97%</w:t>
            </w:r>
          </w:p>
        </w:tc>
        <w:tc>
          <w:tcPr>
            <w:tcW w:type="dxa" w:w="2160"/>
            <w:vAlign w:val="center"/>
          </w:tcPr>
          <w:p>
            <w:pPr>
              <w:spacing w:before="0" w:after="0"/>
              <w:jc w:val="left"/>
            </w:pPr>
            <w:r>
              <w:rPr>
                <w:rFonts w:ascii="Cambria" w:hAnsi="Cambria"/>
                <w:b w:val="0"/>
                <w:color w:val="222222"/>
                <w:sz w:val="13"/>
              </w:rPr>
              <w:t>L&amp;D Manager</w:t>
            </w:r>
          </w:p>
        </w:tc>
        <w:tc>
          <w:tcPr>
            <w:tcW w:type="dxa" w:w="1152"/>
            <w:vAlign w:val="center"/>
          </w:tcPr>
          <w:p>
            <w:pPr>
              <w:spacing w:before="0" w:after="0"/>
              <w:jc w:val="left"/>
            </w:pPr>
            <w:r>
              <w:rPr>
                <w:rFonts w:ascii="Cambria" w:hAnsi="Cambria"/>
                <w:b w:val="0"/>
                <w:color w:val="222222"/>
                <w:sz w:val="13"/>
              </w:rPr>
              <w:t>Medium</w:t>
            </w:r>
          </w:p>
        </w:tc>
        <w:tc>
          <w:tcPr>
            <w:tcW w:type="dxa" w:w="1368"/>
            <w:vAlign w:val="center"/>
          </w:tcPr>
          <w:p>
            <w:pPr>
              <w:spacing w:before="0" w:after="0"/>
              <w:jc w:val="left"/>
            </w:pPr>
            <w:r>
              <w:rPr>
                <w:rFonts w:ascii="Cambria" w:hAnsi="Cambria"/>
                <w:b w:val="0"/>
                <w:color w:val="222222"/>
                <w:sz w:val="13"/>
              </w:rPr>
              <w:t>Jun 30, 2025</w:t>
            </w:r>
          </w:p>
        </w:tc>
        <w:tc>
          <w:tcPr>
            <w:tcW w:type="dxa" w:w="1296"/>
            <w:vAlign w:val="center"/>
          </w:tcPr>
          <w:p>
            <w:pPr>
              <w:spacing w:before="0" w:after="0"/>
              <w:jc w:val="left"/>
            </w:pPr>
            <w:r>
              <w:rPr>
                <w:rFonts w:ascii="Cambria" w:hAnsi="Cambria"/>
                <w:b w:val="0"/>
                <w:color w:val="222222"/>
                <w:sz w:val="13"/>
              </w:rPr>
              <w:t>Open</w:t>
            </w:r>
          </w:p>
        </w:tc>
        <w:tc>
          <w:tcPr>
            <w:tcW w:type="dxa" w:w="1152"/>
            <w:vAlign w:val="center"/>
          </w:tcPr>
          <w:p>
            <w:pPr>
              <w:spacing w:before="0" w:after="0"/>
              <w:jc w:val="left"/>
            </w:pPr>
            <w:r>
              <w:rPr>
                <w:rFonts w:ascii="Cambria" w:hAnsi="Cambria"/>
                <w:b w:val="0"/>
                <w:color w:val="222222"/>
                <w:sz w:val="13"/>
              </w:rPr>
              <w:t>40%</w:t>
            </w:r>
          </w:p>
        </w:tc>
        <w:tc>
          <w:tcPr>
            <w:tcW w:type="dxa" w:w="3168"/>
            <w:vAlign w:val="center"/>
          </w:tcPr>
          <w:p>
            <w:pPr>
              <w:spacing w:before="0" w:after="0"/>
              <w:jc w:val="left"/>
            </w:pPr>
            <w:r>
              <w:rPr>
                <w:rFonts w:ascii="Cambria" w:hAnsi="Cambria"/>
                <w:b w:val="0"/>
                <w:color w:val="222222"/>
                <w:sz w:val="13"/>
              </w:rPr>
              <w:t>LMS completion report</w:t>
            </w:r>
          </w:p>
        </w:tc>
      </w:tr>
    </w:tbl>
    <w:p>
      <w:pPr>
        <w:spacing w:before="80" w:after="80"/>
      </w:pPr>
      <w:r>
        <w:rPr>
          <w:rFonts w:ascii="Cambria" w:hAnsi="Cambria"/>
          <w:b/>
          <w:color w:val="7030A0"/>
          <w:sz w:val="24"/>
        </w:rPr>
        <w:t>Executive Management Summary</w:t>
      </w:r>
    </w:p>
    <w:tbl>
      <w:tblPr>
        <w:tblStyle w:val="ColorfulShading-Accent4"/>
        <w:tblW w:type="auto" w:w="0"/>
        <w:jc w:val="center"/>
        <w:tblLayout w:type="autofit"/>
        <w:tblLook w:firstColumn="1" w:firstRow="1" w:lastColumn="0" w:lastRow="0" w:noHBand="0" w:noVBand="1" w:val="04A0"/>
      </w:tblPr>
      <w:tblGrid>
        <w:gridCol w:w="3564"/>
        <w:gridCol w:w="3564"/>
        <w:gridCol w:w="3564"/>
        <w:gridCol w:w="3564"/>
      </w:tblGrid>
      <w:tr>
        <w:tc>
          <w:tcPr>
            <w:tcW w:type="dxa" w:w="3672"/>
            <w:vAlign w:val="center"/>
          </w:tcPr>
          <w:p>
            <w:pPr>
              <w:spacing w:before="0" w:after="0"/>
              <w:jc w:val="center"/>
            </w:pPr>
            <w:r>
              <w:rPr>
                <w:rFonts w:ascii="Cambria" w:hAnsi="Cambria"/>
                <w:b/>
                <w:color w:val="222222"/>
                <w:sz w:val="15"/>
              </w:rPr>
              <w:t>Top Risks</w:t>
            </w:r>
          </w:p>
        </w:tc>
        <w:tc>
          <w:tcPr>
            <w:tcW w:type="dxa" w:w="3672"/>
            <w:vAlign w:val="center"/>
          </w:tcPr>
          <w:p>
            <w:pPr>
              <w:spacing w:before="0" w:after="0"/>
              <w:jc w:val="center"/>
            </w:pPr>
            <w:r>
              <w:rPr>
                <w:rFonts w:ascii="Cambria" w:hAnsi="Cambria"/>
                <w:b/>
                <w:color w:val="222222"/>
                <w:sz w:val="15"/>
              </w:rPr>
              <w:t>Overdue Items</w:t>
            </w:r>
          </w:p>
        </w:tc>
        <w:tc>
          <w:tcPr>
            <w:tcW w:type="dxa" w:w="3672"/>
            <w:vAlign w:val="center"/>
          </w:tcPr>
          <w:p>
            <w:pPr>
              <w:spacing w:before="0" w:after="0"/>
              <w:jc w:val="center"/>
            </w:pPr>
            <w:r>
              <w:rPr>
                <w:rFonts w:ascii="Cambria" w:hAnsi="Cambria"/>
                <w:b/>
                <w:color w:val="222222"/>
                <w:sz w:val="15"/>
              </w:rPr>
              <w:t>Positive Trends</w:t>
            </w:r>
          </w:p>
        </w:tc>
        <w:tc>
          <w:tcPr>
            <w:tcW w:type="dxa" w:w="3672"/>
            <w:vAlign w:val="center"/>
          </w:tcPr>
          <w:p>
            <w:pPr>
              <w:spacing w:before="0" w:after="0"/>
              <w:jc w:val="center"/>
            </w:pPr>
            <w:r>
              <w:rPr>
                <w:rFonts w:ascii="Cambria" w:hAnsi="Cambria"/>
                <w:b/>
                <w:color w:val="222222"/>
                <w:sz w:val="15"/>
              </w:rPr>
              <w:t>Improvement Focus</w:t>
            </w:r>
          </w:p>
        </w:tc>
      </w:tr>
      <w:tr>
        <w:tc>
          <w:tcPr>
            <w:tcW w:type="dxa" w:w="3672"/>
            <w:vAlign w:val="center"/>
          </w:tcPr>
          <w:p>
            <w:pPr>
              <w:spacing w:before="0" w:after="0"/>
              <w:jc w:val="left"/>
            </w:pPr>
            <w:r>
              <w:rPr>
                <w:rFonts w:ascii="Cambria" w:hAnsi="Cambria"/>
                <w:b w:val="0"/>
                <w:color w:val="222222"/>
                <w:sz w:val="15"/>
              </w:rPr>
              <w:t>Regulatory labeling change; supplier quality variability; audit delays</w:t>
            </w:r>
          </w:p>
        </w:tc>
        <w:tc>
          <w:tcPr>
            <w:tcW w:type="dxa" w:w="3672"/>
            <w:vAlign w:val="center"/>
          </w:tcPr>
          <w:p>
            <w:pPr>
              <w:spacing w:before="0" w:after="0"/>
              <w:jc w:val="left"/>
            </w:pPr>
            <w:r>
              <w:rPr>
                <w:rFonts w:ascii="Cambria" w:hAnsi="Cambria"/>
                <w:b w:val="0"/>
                <w:color w:val="222222"/>
                <w:sz w:val="15"/>
              </w:rPr>
              <w:t>1 regulatory change; 2 audits; 8 document reviews</w:t>
            </w:r>
          </w:p>
        </w:tc>
        <w:tc>
          <w:tcPr>
            <w:tcW w:type="dxa" w:w="3672"/>
            <w:vAlign w:val="center"/>
          </w:tcPr>
          <w:p>
            <w:pPr>
              <w:spacing w:before="0" w:after="0"/>
              <w:jc w:val="left"/>
            </w:pPr>
            <w:r>
              <w:rPr>
                <w:rFonts w:ascii="Cambria" w:hAnsi="Cambria"/>
                <w:b w:val="0"/>
                <w:color w:val="222222"/>
                <w:sz w:val="15"/>
              </w:rPr>
              <w:t>Compliance and CAPA closure improving; complaint aging reduced</w:t>
            </w:r>
          </w:p>
        </w:tc>
        <w:tc>
          <w:tcPr>
            <w:tcW w:type="dxa" w:w="3672"/>
            <w:vAlign w:val="center"/>
          </w:tcPr>
          <w:p>
            <w:pPr>
              <w:spacing w:before="0" w:after="0"/>
              <w:jc w:val="left"/>
            </w:pPr>
            <w:r>
              <w:rPr>
                <w:rFonts w:ascii="Cambria" w:hAnsi="Cambria"/>
                <w:b w:val="0"/>
                <w:color w:val="222222"/>
                <w:sz w:val="15"/>
              </w:rPr>
              <w:t>CAPA effectiveness, supplier resilience, audit recovery and document discipline</w:t>
            </w:r>
          </w:p>
        </w:tc>
      </w:tr>
    </w:tbl>
    <w:p>
      <w:pPr>
        <w:spacing w:before="80" w:after="80"/>
      </w:pPr>
      <w:r>
        <w:rPr>
          <w:rFonts w:ascii="Cambria" w:hAnsi="Cambria"/>
          <w:b/>
          <w:color w:val="1F4E79"/>
          <w:sz w:val="24"/>
        </w:rPr>
        <w:t>Approval Record</w:t>
      </w:r>
    </w:p>
    <w:tbl>
      <w:tblPr>
        <w:tblStyle w:val="LightGrid-Accent1"/>
        <w:tblW w:type="auto" w:w="0"/>
        <w:jc w:val="center"/>
        <w:tblLayout w:type="autofit"/>
        <w:tblLook w:firstColumn="1" w:firstRow="1" w:lastColumn="0" w:lastRow="0" w:noHBand="0" w:noVBand="1" w:val="04A0"/>
      </w:tblPr>
      <w:tblGrid>
        <w:gridCol w:w="2851"/>
        <w:gridCol w:w="2851"/>
        <w:gridCol w:w="2851"/>
        <w:gridCol w:w="2851"/>
        <w:gridCol w:w="2851"/>
      </w:tblGrid>
      <w:tr>
        <w:tc>
          <w:tcPr>
            <w:tcW w:type="dxa" w:w="2880"/>
            <w:vAlign w:val="center"/>
          </w:tcPr>
          <w:p>
            <w:pPr>
              <w:spacing w:before="0" w:after="0"/>
              <w:jc w:val="center"/>
            </w:pPr>
            <w:r>
              <w:rPr>
                <w:rFonts w:ascii="Cambria" w:hAnsi="Cambria"/>
                <w:b/>
                <w:color w:val="222222"/>
                <w:sz w:val="14"/>
              </w:rPr>
              <w:t>Role</w:t>
            </w:r>
          </w:p>
        </w:tc>
        <w:tc>
          <w:tcPr>
            <w:tcW w:type="dxa" w:w="2448"/>
            <w:vAlign w:val="center"/>
          </w:tcPr>
          <w:p>
            <w:pPr>
              <w:spacing w:before="0" w:after="0"/>
              <w:jc w:val="center"/>
            </w:pPr>
            <w:r>
              <w:rPr>
                <w:rFonts w:ascii="Cambria" w:hAnsi="Cambria"/>
                <w:b/>
                <w:color w:val="222222"/>
                <w:sz w:val="14"/>
              </w:rPr>
              <w:t>Name</w:t>
            </w:r>
          </w:p>
        </w:tc>
        <w:tc>
          <w:tcPr>
            <w:tcW w:type="dxa" w:w="5616"/>
            <w:vAlign w:val="center"/>
          </w:tcPr>
          <w:p>
            <w:pPr>
              <w:spacing w:before="0" w:after="0"/>
              <w:jc w:val="center"/>
            </w:pPr>
            <w:r>
              <w:rPr>
                <w:rFonts w:ascii="Cambria" w:hAnsi="Cambria"/>
                <w:b/>
                <w:color w:val="222222"/>
                <w:sz w:val="14"/>
              </w:rPr>
              <w:t>Decision / Confirmation</w:t>
            </w:r>
          </w:p>
        </w:tc>
        <w:tc>
          <w:tcPr>
            <w:tcW w:type="dxa" w:w="1728"/>
            <w:vAlign w:val="center"/>
          </w:tcPr>
          <w:p>
            <w:pPr>
              <w:spacing w:before="0" w:after="0"/>
              <w:jc w:val="center"/>
            </w:pPr>
            <w:r>
              <w:rPr>
                <w:rFonts w:ascii="Cambria" w:hAnsi="Cambria"/>
                <w:b/>
                <w:color w:val="222222"/>
                <w:sz w:val="14"/>
              </w:rPr>
              <w:t>Date</w:t>
            </w:r>
          </w:p>
        </w:tc>
        <w:tc>
          <w:tcPr>
            <w:tcW w:type="dxa" w:w="2304"/>
            <w:vAlign w:val="center"/>
          </w:tcPr>
          <w:p>
            <w:pPr>
              <w:spacing w:before="0" w:after="0"/>
              <w:jc w:val="center"/>
            </w:pPr>
            <w:r>
              <w:rPr>
                <w:rFonts w:ascii="Cambria" w:hAnsi="Cambria"/>
                <w:b/>
                <w:color w:val="222222"/>
                <w:sz w:val="14"/>
              </w:rPr>
              <w:t>Signature</w:t>
            </w:r>
          </w:p>
        </w:tc>
      </w:tr>
      <w:tr>
        <w:tc>
          <w:tcPr>
            <w:tcW w:type="dxa" w:w="2880"/>
            <w:vAlign w:val="center"/>
          </w:tcPr>
          <w:p>
            <w:pPr>
              <w:spacing w:before="0" w:after="0"/>
              <w:jc w:val="left"/>
            </w:pPr>
            <w:r>
              <w:rPr>
                <w:rFonts w:ascii="Cambria" w:hAnsi="Cambria"/>
                <w:b w:val="0"/>
                <w:color w:val="222222"/>
                <w:sz w:val="14"/>
              </w:rPr>
              <w:t>Chief Executive Officer</w:t>
            </w:r>
          </w:p>
        </w:tc>
        <w:tc>
          <w:tcPr>
            <w:tcW w:type="dxa" w:w="2448"/>
            <w:vAlign w:val="center"/>
          </w:tcPr>
          <w:p>
            <w:pPr>
              <w:spacing w:before="0" w:after="0"/>
              <w:jc w:val="left"/>
            </w:pPr>
            <w:r>
              <w:rPr>
                <w:rFonts w:ascii="Cambria" w:hAnsi="Cambria"/>
                <w:b w:val="0"/>
                <w:color w:val="222222"/>
                <w:sz w:val="14"/>
              </w:rPr>
              <w:t>________________</w:t>
            </w:r>
          </w:p>
        </w:tc>
        <w:tc>
          <w:tcPr>
            <w:tcW w:type="dxa" w:w="5616"/>
            <w:vAlign w:val="center"/>
          </w:tcPr>
          <w:p>
            <w:pPr>
              <w:spacing w:before="0" w:after="0"/>
              <w:jc w:val="left"/>
            </w:pPr>
            <w:r>
              <w:rPr>
                <w:rFonts w:ascii="Cambria" w:hAnsi="Cambria"/>
                <w:b w:val="0"/>
                <w:color w:val="222222"/>
                <w:sz w:val="14"/>
              </w:rPr>
              <w:t>QMS performance and priorities reviewed</w:t>
            </w:r>
          </w:p>
        </w:tc>
        <w:tc>
          <w:tcPr>
            <w:tcW w:type="dxa" w:w="1728"/>
            <w:vAlign w:val="center"/>
          </w:tcPr>
          <w:p>
            <w:pPr>
              <w:spacing w:before="0" w:after="0"/>
              <w:jc w:val="left"/>
            </w:pPr>
            <w:r>
              <w:rPr>
                <w:rFonts w:ascii="Cambria" w:hAnsi="Cambria"/>
                <w:b w:val="0"/>
                <w:color w:val="222222"/>
                <w:sz w:val="14"/>
              </w:rPr>
              <w:t>____________</w:t>
            </w:r>
          </w:p>
        </w:tc>
        <w:tc>
          <w:tcPr>
            <w:tcW w:type="dxa" w:w="2304"/>
            <w:vAlign w:val="center"/>
          </w:tcPr>
          <w:p>
            <w:pPr>
              <w:spacing w:before="0" w:after="0"/>
              <w:jc w:val="left"/>
            </w:pPr>
            <w:r>
              <w:rPr>
                <w:rFonts w:ascii="Cambria" w:hAnsi="Cambria"/>
                <w:b w:val="0"/>
                <w:color w:val="222222"/>
                <w:sz w:val="14"/>
              </w:rPr>
              <w:t>________________</w:t>
            </w:r>
          </w:p>
        </w:tc>
      </w:tr>
      <w:tr>
        <w:tc>
          <w:tcPr>
            <w:tcW w:type="dxa" w:w="2880"/>
            <w:vAlign w:val="center"/>
          </w:tcPr>
          <w:p>
            <w:pPr>
              <w:spacing w:before="0" w:after="0"/>
              <w:jc w:val="left"/>
            </w:pPr>
            <w:r>
              <w:rPr>
                <w:rFonts w:ascii="Cambria" w:hAnsi="Cambria"/>
                <w:b w:val="0"/>
                <w:color w:val="222222"/>
                <w:sz w:val="14"/>
              </w:rPr>
              <w:t>Director of Quality</w:t>
            </w:r>
          </w:p>
        </w:tc>
        <w:tc>
          <w:tcPr>
            <w:tcW w:type="dxa" w:w="2448"/>
            <w:vAlign w:val="center"/>
          </w:tcPr>
          <w:p>
            <w:pPr>
              <w:spacing w:before="0" w:after="0"/>
              <w:jc w:val="left"/>
            </w:pPr>
            <w:r>
              <w:rPr>
                <w:rFonts w:ascii="Cambria" w:hAnsi="Cambria"/>
                <w:b w:val="0"/>
                <w:color w:val="222222"/>
                <w:sz w:val="14"/>
              </w:rPr>
              <w:t>________________</w:t>
            </w:r>
          </w:p>
        </w:tc>
        <w:tc>
          <w:tcPr>
            <w:tcW w:type="dxa" w:w="5616"/>
            <w:vAlign w:val="center"/>
          </w:tcPr>
          <w:p>
            <w:pPr>
              <w:spacing w:before="0" w:after="0"/>
              <w:jc w:val="left"/>
            </w:pPr>
            <w:r>
              <w:rPr>
                <w:rFonts w:ascii="Cambria" w:hAnsi="Cambria"/>
                <w:b w:val="0"/>
                <w:color w:val="222222"/>
                <w:sz w:val="14"/>
              </w:rPr>
              <w:t>Dashboard and actions confirmed</w:t>
            </w:r>
          </w:p>
        </w:tc>
        <w:tc>
          <w:tcPr>
            <w:tcW w:type="dxa" w:w="1728"/>
            <w:vAlign w:val="center"/>
          </w:tcPr>
          <w:p>
            <w:pPr>
              <w:spacing w:before="0" w:after="0"/>
              <w:jc w:val="left"/>
            </w:pPr>
            <w:r>
              <w:rPr>
                <w:rFonts w:ascii="Cambria" w:hAnsi="Cambria"/>
                <w:b w:val="0"/>
                <w:color w:val="222222"/>
                <w:sz w:val="14"/>
              </w:rPr>
              <w:t>____________</w:t>
            </w:r>
          </w:p>
        </w:tc>
        <w:tc>
          <w:tcPr>
            <w:tcW w:type="dxa" w:w="2304"/>
            <w:vAlign w:val="center"/>
          </w:tcPr>
          <w:p>
            <w:pPr>
              <w:spacing w:before="0" w:after="0"/>
              <w:jc w:val="left"/>
            </w:pPr>
            <w:r>
              <w:rPr>
                <w:rFonts w:ascii="Cambria" w:hAnsi="Cambria"/>
                <w:b w:val="0"/>
                <w:color w:val="222222"/>
                <w:sz w:val="14"/>
              </w:rPr>
              <w:t>________________</w:t>
            </w:r>
          </w:p>
        </w:tc>
      </w:tr>
      <w:tr>
        <w:tc>
          <w:tcPr>
            <w:tcW w:type="dxa" w:w="2880"/>
            <w:vAlign w:val="center"/>
          </w:tcPr>
          <w:p>
            <w:pPr>
              <w:spacing w:before="0" w:after="0"/>
              <w:jc w:val="left"/>
            </w:pPr>
            <w:r>
              <w:rPr>
                <w:rFonts w:ascii="Cambria" w:hAnsi="Cambria"/>
                <w:b w:val="0"/>
                <w:color w:val="222222"/>
                <w:sz w:val="14"/>
              </w:rPr>
              <w:t>Executive Process Owners</w:t>
            </w:r>
          </w:p>
        </w:tc>
        <w:tc>
          <w:tcPr>
            <w:tcW w:type="dxa" w:w="2448"/>
            <w:vAlign w:val="center"/>
          </w:tcPr>
          <w:p>
            <w:pPr>
              <w:spacing w:before="0" w:after="0"/>
              <w:jc w:val="left"/>
            </w:pPr>
            <w:r>
              <w:rPr>
                <w:rFonts w:ascii="Cambria" w:hAnsi="Cambria"/>
                <w:b w:val="0"/>
                <w:color w:val="222222"/>
                <w:sz w:val="14"/>
              </w:rPr>
              <w:t>________________</w:t>
            </w:r>
          </w:p>
        </w:tc>
        <w:tc>
          <w:tcPr>
            <w:tcW w:type="dxa" w:w="5616"/>
            <w:vAlign w:val="center"/>
          </w:tcPr>
          <w:p>
            <w:pPr>
              <w:spacing w:before="0" w:after="0"/>
              <w:jc w:val="left"/>
            </w:pPr>
            <w:r>
              <w:rPr>
                <w:rFonts w:ascii="Cambria" w:hAnsi="Cambria"/>
                <w:b w:val="0"/>
                <w:color w:val="222222"/>
                <w:sz w:val="14"/>
              </w:rPr>
              <w:t>Ownership and resources accepted</w:t>
            </w:r>
          </w:p>
        </w:tc>
        <w:tc>
          <w:tcPr>
            <w:tcW w:type="dxa" w:w="1728"/>
            <w:vAlign w:val="center"/>
          </w:tcPr>
          <w:p>
            <w:pPr>
              <w:spacing w:before="0" w:after="0"/>
              <w:jc w:val="left"/>
            </w:pPr>
            <w:r>
              <w:rPr>
                <w:rFonts w:ascii="Cambria" w:hAnsi="Cambria"/>
                <w:b w:val="0"/>
                <w:color w:val="222222"/>
                <w:sz w:val="14"/>
              </w:rPr>
              <w:t>____________</w:t>
            </w:r>
          </w:p>
        </w:tc>
        <w:tc>
          <w:tcPr>
            <w:tcW w:type="dxa" w:w="2304"/>
            <w:vAlign w:val="center"/>
          </w:tcPr>
          <w:p>
            <w:pPr>
              <w:spacing w:before="0" w:after="0"/>
              <w:jc w:val="left"/>
            </w:pPr>
            <w:r>
              <w:rPr>
                <w:rFonts w:ascii="Cambria" w:hAnsi="Cambria"/>
                <w:b w:val="0"/>
                <w:color w:val="222222"/>
                <w:sz w:val="14"/>
              </w:rPr>
              <w:t>________________</w:t>
            </w:r>
          </w:p>
        </w:tc>
      </w:tr>
    </w:tbl>
    <w:p>
      <w:pPr>
        <w:spacing w:before="160" w:after="0"/>
        <w:jc w:val="center"/>
      </w:pPr>
      <w:r>
        <w:rPr>
          <w:rFonts w:ascii="Cambria" w:hAnsi="Cambria"/>
          <w:b/>
          <w:color w:val="1F4E79"/>
          <w:sz w:val="18"/>
        </w:rPr>
        <w:t>Quality is everyone's responsibility. Management review converts evidence into accountable improvement.</w:t>
      </w:r>
    </w:p>
    <w:sectPr w:rsidR="00FC693F" w:rsidRPr="0006063C" w:rsidSect="00034616">
      <w:headerReference w:type="default" r:id="rId9"/>
      <w:footerReference w:type="default" r:id="rId10"/>
      <w:pgSz w:w="15840" w:h="12240" w:orient="landscape"/>
      <w:pgMar w:top="792" w:right="792" w:bottom="792" w:left="792"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
      <w:rPr>
        <w:rFonts w:ascii="Cambria" w:hAnsi="Cambria"/>
        <w:b/>
        <w:color w:val="1F4E79"/>
        <w:sz w:val="20"/>
      </w:rPr>
      <w:t>ENTERPRISE TOOLKITS DOCUMENT</w:t>
      <w:br/>
    </w:r>
    <w:r>
      <w:rPr>
        <w:rFonts w:ascii="Cambria" w:hAnsi="Cambria"/>
        <w:b w:val="0"/>
        <w:color w:val="1F4E79"/>
        <w:sz w:val="20"/>
      </w:rPr>
      <w:t>Website: www.Enterprise-Toolkits.org | Email: info@Enterprise-Toolkits.org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r>
      <w:rPr>
        <w:rFonts w:ascii="Cambria" w:hAnsi="Cambria"/>
        <w:b/>
        <w:color w:val="1F4E79"/>
        <w:sz w:val="20"/>
      </w:rPr>
      <w:t>ENTERPRISE-TOOLKITS</w:t>
      <w:br/>
    </w:r>
    <w:r>
      <w:rPr>
        <w:rFonts w:ascii="Cambria" w:hAnsi="Cambria"/>
        <w:b w:val="0"/>
        <w:color w:val="1F4E79"/>
        <w:sz w:val="20"/>
      </w:rPr>
      <w:t>QMS Overview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mbria" w:hAnsi="Cambri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mbria" w:hAnsi="Cambria"/>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mbria" w:hAnsi="Cambria"/>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dcterms:created xsi:type="dcterms:W3CDTF">2013-12-23T23:15:00Z</dcterms:created>
  <dcterms:modified xsi:type="dcterms:W3CDTF">2013-12-23T23:15:00Z</dcterms:modified>
  <cp:category/>
</cp:coreProperties>
</file>